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5E" w:rsidRPr="002801F8" w:rsidRDefault="00F51E5E" w:rsidP="002801F8">
      <w:pPr>
        <w:spacing w:after="0" w:line="240" w:lineRule="auto"/>
        <w:jc w:val="both"/>
        <w:rPr>
          <w:rFonts w:ascii="Times New Roman" w:hAnsi="Times New Roman" w:cs="Times New Roman"/>
          <w:b/>
          <w:sz w:val="26"/>
        </w:rPr>
      </w:pPr>
      <w:r w:rsidRPr="002801F8">
        <w:rPr>
          <w:rFonts w:ascii="Times New Roman" w:hAnsi="Times New Roman" w:cs="Times New Roman"/>
          <w:b/>
          <w:sz w:val="26"/>
        </w:rPr>
        <w:t xml:space="preserve">ЭФОТК (IFRIC) 16 </w:t>
      </w:r>
      <w:proofErr w:type="spellStart"/>
      <w:r w:rsidR="00544862" w:rsidRPr="002801F8">
        <w:rPr>
          <w:rFonts w:ascii="Times New Roman" w:hAnsi="Times New Roman" w:cs="Times New Roman"/>
          <w:b/>
          <w:sz w:val="26"/>
        </w:rPr>
        <w:t>түшүндүрмөсү</w:t>
      </w:r>
      <w:proofErr w:type="spellEnd"/>
    </w:p>
    <w:p w:rsidR="00F51E5E" w:rsidRPr="002801F8" w:rsidRDefault="002801F8" w:rsidP="002801F8">
      <w:pPr>
        <w:spacing w:after="0" w:line="240" w:lineRule="auto"/>
        <w:jc w:val="both"/>
        <w:rPr>
          <w:rFonts w:ascii="Times New Roman" w:hAnsi="Times New Roman" w:cs="Times New Roman"/>
          <w:b/>
          <w:i/>
          <w:sz w:val="26"/>
          <w:lang w:val="kk-KZ"/>
        </w:rPr>
      </w:pPr>
      <w:r w:rsidRPr="002801F8">
        <w:rPr>
          <w:rFonts w:ascii="Times New Roman" w:hAnsi="Times New Roman" w:cs="Times New Roman"/>
          <w:b/>
          <w:i/>
          <w:sz w:val="26"/>
        </w:rPr>
        <w:t xml:space="preserve">"Таза </w:t>
      </w:r>
      <w:proofErr w:type="spellStart"/>
      <w:r w:rsidRPr="002801F8">
        <w:rPr>
          <w:rFonts w:ascii="Times New Roman" w:hAnsi="Times New Roman" w:cs="Times New Roman"/>
          <w:b/>
          <w:i/>
          <w:sz w:val="26"/>
        </w:rPr>
        <w:t>инвестицияны</w:t>
      </w:r>
      <w:proofErr w:type="spellEnd"/>
      <w:r w:rsidRPr="002801F8">
        <w:rPr>
          <w:rFonts w:ascii="Times New Roman" w:hAnsi="Times New Roman" w:cs="Times New Roman"/>
          <w:b/>
          <w:i/>
          <w:sz w:val="26"/>
        </w:rPr>
        <w:t xml:space="preserve"> чет </w:t>
      </w:r>
      <w:proofErr w:type="spellStart"/>
      <w:r w:rsidRPr="002801F8">
        <w:rPr>
          <w:rFonts w:ascii="Times New Roman" w:hAnsi="Times New Roman" w:cs="Times New Roman"/>
          <w:b/>
          <w:i/>
          <w:sz w:val="26"/>
        </w:rPr>
        <w:t>өлкөлүк</w:t>
      </w:r>
      <w:proofErr w:type="spellEnd"/>
      <w:r w:rsidRPr="002801F8">
        <w:rPr>
          <w:rFonts w:ascii="Times New Roman" w:hAnsi="Times New Roman" w:cs="Times New Roman"/>
          <w:b/>
          <w:i/>
          <w:sz w:val="26"/>
        </w:rPr>
        <w:t xml:space="preserve"> </w:t>
      </w:r>
      <w:proofErr w:type="spellStart"/>
      <w:r w:rsidRPr="002801F8">
        <w:rPr>
          <w:rFonts w:ascii="Times New Roman" w:hAnsi="Times New Roman" w:cs="Times New Roman"/>
          <w:b/>
          <w:i/>
          <w:sz w:val="26"/>
        </w:rPr>
        <w:t>бөлүмгө</w:t>
      </w:r>
      <w:proofErr w:type="spellEnd"/>
      <w:r w:rsidRPr="002801F8">
        <w:rPr>
          <w:rFonts w:ascii="Times New Roman" w:hAnsi="Times New Roman" w:cs="Times New Roman"/>
          <w:b/>
          <w:i/>
          <w:sz w:val="26"/>
        </w:rPr>
        <w:t xml:space="preserve"> </w:t>
      </w:r>
      <w:proofErr w:type="spellStart"/>
      <w:r w:rsidRPr="002801F8">
        <w:rPr>
          <w:rFonts w:ascii="Times New Roman" w:hAnsi="Times New Roman" w:cs="Times New Roman"/>
          <w:b/>
          <w:i/>
          <w:sz w:val="26"/>
        </w:rPr>
        <w:t>хеджирлөө</w:t>
      </w:r>
      <w:proofErr w:type="spellEnd"/>
      <w:r w:rsidRPr="002801F8">
        <w:rPr>
          <w:rFonts w:ascii="Times New Roman" w:hAnsi="Times New Roman" w:cs="Times New Roman"/>
          <w:b/>
          <w:i/>
          <w:sz w:val="26"/>
        </w:rPr>
        <w:t>"</w:t>
      </w:r>
    </w:p>
    <w:p w:rsidR="002801F8" w:rsidRPr="002801F8" w:rsidRDefault="002801F8" w:rsidP="002801F8">
      <w:pPr>
        <w:spacing w:line="240" w:lineRule="auto"/>
        <w:jc w:val="both"/>
        <w:rPr>
          <w:rFonts w:ascii="Times New Roman" w:hAnsi="Times New Roman" w:cs="Times New Roman"/>
          <w:b/>
          <w:sz w:val="26"/>
          <w:lang w:val="kk-KZ"/>
        </w:rPr>
      </w:pPr>
    </w:p>
    <w:p w:rsidR="00F51E5E" w:rsidRPr="002801F8" w:rsidRDefault="00F51E5E" w:rsidP="002801F8">
      <w:pPr>
        <w:pBdr>
          <w:bottom w:val="single" w:sz="4" w:space="1" w:color="auto"/>
        </w:pBdr>
        <w:spacing w:line="240" w:lineRule="auto"/>
        <w:jc w:val="both"/>
        <w:rPr>
          <w:rFonts w:ascii="Times New Roman" w:hAnsi="Times New Roman" w:cs="Times New Roman"/>
          <w:b/>
          <w:sz w:val="26"/>
          <w:lang w:val="kk-KZ"/>
        </w:rPr>
      </w:pPr>
      <w:r w:rsidRPr="002801F8">
        <w:rPr>
          <w:rFonts w:ascii="Times New Roman" w:hAnsi="Times New Roman" w:cs="Times New Roman"/>
          <w:b/>
          <w:sz w:val="26"/>
          <w:lang w:val="kk-KZ"/>
        </w:rPr>
        <w:t>Шилтемелер</w:t>
      </w:r>
    </w:p>
    <w:p w:rsidR="00F51E5E" w:rsidRPr="002801F8" w:rsidRDefault="002801F8" w:rsidP="005133CB">
      <w:pPr>
        <w:spacing w:after="0" w:line="240" w:lineRule="auto"/>
        <w:jc w:val="both"/>
        <w:rPr>
          <w:rFonts w:ascii="Times New Roman" w:hAnsi="Times New Roman" w:cs="Times New Roman"/>
          <w:lang w:val="kk-KZ"/>
        </w:rPr>
      </w:pPr>
      <w:r w:rsidRPr="002801F8">
        <w:rPr>
          <w:rFonts w:ascii="Times New Roman" w:hAnsi="Times New Roman" w:cs="Times New Roman"/>
          <w:lang w:val="kk-KZ"/>
        </w:rPr>
        <w:t>•</w:t>
      </w:r>
      <w:r w:rsidRPr="002801F8">
        <w:rPr>
          <w:rFonts w:ascii="Times New Roman" w:hAnsi="Times New Roman" w:cs="Times New Roman"/>
          <w:lang w:val="kk-KZ"/>
        </w:rPr>
        <w:tab/>
      </w:r>
      <w:r w:rsidR="00F51E5E" w:rsidRPr="002801F8">
        <w:rPr>
          <w:rFonts w:ascii="Times New Roman" w:hAnsi="Times New Roman" w:cs="Times New Roman"/>
          <w:i/>
          <w:lang w:val="kk-KZ"/>
        </w:rPr>
        <w:t>"Эсеп саясаты, бухгалтердик баалоолордогу өзгөртүүлөр жана каталар"</w:t>
      </w:r>
      <w:r>
        <w:rPr>
          <w:rFonts w:ascii="Times New Roman" w:hAnsi="Times New Roman" w:cs="Times New Roman"/>
          <w:lang w:val="kk-KZ"/>
        </w:rPr>
        <w:t xml:space="preserve"> ФОЭС (IAS) 8</w:t>
      </w:r>
      <w:r w:rsidR="00F51E5E" w:rsidRPr="002801F8">
        <w:rPr>
          <w:rFonts w:ascii="Times New Roman" w:hAnsi="Times New Roman" w:cs="Times New Roman"/>
          <w:lang w:val="kk-KZ"/>
        </w:rPr>
        <w:cr/>
      </w:r>
    </w:p>
    <w:p w:rsidR="00F51E5E" w:rsidRPr="002801F8" w:rsidRDefault="002801F8" w:rsidP="005133CB">
      <w:pPr>
        <w:spacing w:after="0" w:line="240" w:lineRule="auto"/>
        <w:jc w:val="both"/>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lang w:val="kk-KZ"/>
        </w:rPr>
        <w:tab/>
      </w:r>
      <w:r w:rsidR="00F51E5E" w:rsidRPr="002801F8">
        <w:rPr>
          <w:rFonts w:ascii="Times New Roman" w:hAnsi="Times New Roman" w:cs="Times New Roman"/>
          <w:i/>
          <w:lang w:val="kk-KZ"/>
        </w:rPr>
        <w:t>"Валюталык курстардын өзгөрүүлөрүнүн таасири"</w:t>
      </w:r>
      <w:r>
        <w:rPr>
          <w:rFonts w:ascii="Times New Roman" w:hAnsi="Times New Roman" w:cs="Times New Roman"/>
          <w:lang w:val="kk-KZ"/>
        </w:rPr>
        <w:t xml:space="preserve"> ФОЭС (IAS) 21</w:t>
      </w:r>
      <w:r w:rsidR="00F51E5E" w:rsidRPr="002801F8">
        <w:rPr>
          <w:rFonts w:ascii="Times New Roman" w:hAnsi="Times New Roman" w:cs="Times New Roman"/>
          <w:lang w:val="kk-KZ"/>
        </w:rPr>
        <w:cr/>
      </w:r>
    </w:p>
    <w:p w:rsidR="00F51E5E" w:rsidRDefault="00F51E5E" w:rsidP="005133CB">
      <w:pPr>
        <w:spacing w:after="0" w:line="240" w:lineRule="auto"/>
        <w:jc w:val="both"/>
        <w:rPr>
          <w:rFonts w:ascii="Times New Roman" w:hAnsi="Times New Roman" w:cs="Times New Roman"/>
          <w:lang w:val="kk-KZ"/>
        </w:rPr>
      </w:pPr>
      <w:r w:rsidRPr="002801F8">
        <w:rPr>
          <w:rFonts w:ascii="Times New Roman" w:hAnsi="Times New Roman" w:cs="Times New Roman"/>
          <w:lang w:val="kk-KZ"/>
        </w:rPr>
        <w:t>•</w:t>
      </w:r>
      <w:r w:rsidRPr="002801F8">
        <w:rPr>
          <w:rFonts w:ascii="Times New Roman" w:hAnsi="Times New Roman" w:cs="Times New Roman"/>
          <w:lang w:val="kk-KZ"/>
        </w:rPr>
        <w:tab/>
      </w:r>
      <w:r w:rsidRPr="002801F8">
        <w:rPr>
          <w:rFonts w:ascii="Times New Roman" w:hAnsi="Times New Roman" w:cs="Times New Roman"/>
          <w:i/>
          <w:lang w:val="kk-KZ"/>
        </w:rPr>
        <w:t>"Финансылык инструменттер"</w:t>
      </w:r>
      <w:r w:rsidR="002801F8">
        <w:rPr>
          <w:rFonts w:ascii="Times New Roman" w:hAnsi="Times New Roman" w:cs="Times New Roman"/>
          <w:lang w:val="kk-KZ"/>
        </w:rPr>
        <w:t xml:space="preserve"> ФОЭС (IFRS) 9</w:t>
      </w:r>
    </w:p>
    <w:p w:rsidR="002801F8" w:rsidRPr="002801F8" w:rsidRDefault="002801F8" w:rsidP="002801F8">
      <w:pPr>
        <w:spacing w:line="240" w:lineRule="auto"/>
        <w:jc w:val="both"/>
        <w:rPr>
          <w:rFonts w:ascii="Times New Roman" w:hAnsi="Times New Roman" w:cs="Times New Roman"/>
          <w:lang w:val="kk-KZ"/>
        </w:rPr>
      </w:pPr>
    </w:p>
    <w:p w:rsidR="00F51E5E" w:rsidRPr="002801F8" w:rsidRDefault="00F51E5E" w:rsidP="002801F8">
      <w:pPr>
        <w:pBdr>
          <w:bottom w:val="single" w:sz="4" w:space="1" w:color="auto"/>
        </w:pBdr>
        <w:spacing w:line="240" w:lineRule="auto"/>
        <w:jc w:val="both"/>
        <w:rPr>
          <w:rFonts w:ascii="Times New Roman" w:hAnsi="Times New Roman" w:cs="Times New Roman"/>
          <w:b/>
          <w:sz w:val="26"/>
          <w:lang w:val="kk-KZ"/>
        </w:rPr>
      </w:pPr>
      <w:r w:rsidRPr="002801F8">
        <w:rPr>
          <w:rFonts w:ascii="Times New Roman" w:hAnsi="Times New Roman" w:cs="Times New Roman"/>
          <w:b/>
          <w:sz w:val="26"/>
          <w:lang w:val="kk-KZ"/>
        </w:rPr>
        <w:t>Баштапкы маалымат</w:t>
      </w:r>
    </w:p>
    <w:p w:rsidR="00F51E5E" w:rsidRPr="002801F8" w:rsidRDefault="00F51E5E" w:rsidP="005133CB">
      <w:pPr>
        <w:spacing w:after="0"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1</w:t>
      </w:r>
      <w:r w:rsidRPr="002801F8">
        <w:rPr>
          <w:rFonts w:ascii="Times New Roman" w:hAnsi="Times New Roman" w:cs="Times New Roman"/>
          <w:lang w:val="kk-KZ"/>
        </w:rPr>
        <w:tab/>
        <w:t>Көптөгөн отчет берүүчү ишканалардын чет өлкөлүк бөлүмдөргө инвестициялары бар (бул термин  ФОЭС (IAS) 21дин 8-пунктунда аныкталгандай). Мындай чет өлкөлүк бөлүмдөр туунду, ассоциацияланган ишканалар, биргелешкен ишканалар же филиалдар болушу мүмкүн. ФОЭС (IAS) 21 талап кылгандай, ишкана анын чет өлкөлүк бөлүмдөрүнүн ар биринин колдонуудагы валютасын аныкташы керек, мындай валюта катары ошол бөлүм иштеген негизги экономикалык чөйрөнүн валютасы белгиленет. Чет өлкөлүк бөлүмдүн натыйжаларын жана финансылык абалын отчеттуулукту тапшыруу  валютасына кайра эсептөөдө ишкана ошол чет өлкөлүк бөлүмдүн чыгып калышын таанымайынча, башка жыйынды кирешенин курамында курстук айырмаларды таанышы керек.</w:t>
      </w:r>
      <w:r w:rsidRPr="002801F8">
        <w:rPr>
          <w:rFonts w:ascii="Times New Roman" w:hAnsi="Times New Roman" w:cs="Times New Roman"/>
          <w:lang w:val="kk-KZ"/>
        </w:rPr>
        <w:cr/>
      </w:r>
    </w:p>
    <w:p w:rsidR="00F51E5E" w:rsidRPr="002801F8" w:rsidRDefault="00F51E5E" w:rsidP="00A33F48">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2</w:t>
      </w:r>
      <w:r w:rsidRPr="002801F8">
        <w:rPr>
          <w:rFonts w:ascii="Times New Roman" w:hAnsi="Times New Roman" w:cs="Times New Roman"/>
          <w:lang w:val="kk-KZ"/>
        </w:rPr>
        <w:tab/>
        <w:t xml:space="preserve"> Чет өлкөлүк бөлүмгө таза инвестициялоого байланыштуу валюталык тобокелдикти хеджирлөөнү эсепке алуу мындай чет өлкөлүк бөлүмдүн таза активдери финансылык отчеттуулукка камтылган</w:t>
      </w:r>
      <w:r w:rsidR="002801F8" w:rsidRPr="002801F8">
        <w:rPr>
          <w:rFonts w:ascii="Times New Roman" w:hAnsi="Times New Roman" w:cs="Times New Roman"/>
          <w:lang w:val="kk-KZ"/>
        </w:rPr>
        <w:t xml:space="preserve"> учурда гана колдонулушу мүмкүн</w:t>
      </w:r>
      <w:r w:rsidR="002801F8">
        <w:rPr>
          <w:rStyle w:val="a3"/>
        </w:rPr>
        <w:footnoteReference w:id="1"/>
      </w:r>
      <w:r w:rsidRPr="002801F8">
        <w:rPr>
          <w:rFonts w:ascii="Times New Roman" w:hAnsi="Times New Roman" w:cs="Times New Roman"/>
          <w:lang w:val="kk-KZ"/>
        </w:rPr>
        <w:t xml:space="preserve">.  Чет өлкөлүк бөлүмгө таза инвестициялоого байланыштуу валюталык тобокелдикке карата хеджирлөөнүн объекти катары таза активдердин чет өлкөлүк бөлүмдүн таза активдеринин баланстык наркына барабар же андан азыраак суммасы болушу мүмкүн. </w:t>
      </w:r>
    </w:p>
    <w:p w:rsidR="00F51E5E" w:rsidRPr="002801F8" w:rsidRDefault="00F51E5E" w:rsidP="00A33F48">
      <w:pPr>
        <w:spacing w:after="0"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3</w:t>
      </w:r>
      <w:r w:rsidRPr="002801F8">
        <w:rPr>
          <w:rFonts w:ascii="Times New Roman" w:hAnsi="Times New Roman" w:cs="Times New Roman"/>
          <w:lang w:val="kk-KZ"/>
        </w:rPr>
        <w:tab/>
        <w:t>ФОЭС (IFRS) 9га ылайык, хеджирлөө мамилелеринин курамында ишкананын каалоосу боюнча жол берилген хеджирлөө объекти жана хеджирлөө инструменти аныкталышы керек. Эгерде ишкана өз каалоосу боюнча хеджирлөөнүн мамилелерин аныктаса, таза инвестицияны хеджирлөө учурунда, ушул таза инвестицияны хеджирлөөдө натыйжалуулугу белгиленген болуп саналган хеджирлөөнүн инструменти боюнча пайдалар жана зыяндар башка жыйынды кирешенин курамында таанылат жана белгиленген чет өлкөлүк бөлүмдүн натыйжаларын жана финансылык абалын кайра эсептөөдө пайда болгон курстук айырмалар камтылган беренеге камтылат.</w:t>
      </w:r>
      <w:r w:rsidRPr="002801F8">
        <w:rPr>
          <w:rFonts w:ascii="Times New Roman" w:hAnsi="Times New Roman" w:cs="Times New Roman"/>
          <w:lang w:val="kk-KZ"/>
        </w:rPr>
        <w:cr/>
      </w:r>
    </w:p>
    <w:p w:rsidR="00F51E5E" w:rsidRPr="002801F8" w:rsidRDefault="00F51E5E" w:rsidP="00A33F48">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4</w:t>
      </w:r>
      <w:r w:rsidRPr="002801F8">
        <w:rPr>
          <w:rFonts w:ascii="Times New Roman" w:hAnsi="Times New Roman" w:cs="Times New Roman"/>
          <w:lang w:val="kk-KZ"/>
        </w:rPr>
        <w:tab/>
        <w:t xml:space="preserve">Көптөгөн чет өлкөлүк бөлүмдөрү бар ишкана бир нече валюталык тобокелдикке кабылышы мүмкүн. Ушул </w:t>
      </w:r>
      <w:r w:rsidR="00D217C5" w:rsidRPr="002801F8">
        <w:rPr>
          <w:rFonts w:ascii="Times New Roman" w:hAnsi="Times New Roman" w:cs="Times New Roman"/>
          <w:lang w:val="kk-KZ"/>
        </w:rPr>
        <w:t xml:space="preserve">түшүндүрмө </w:t>
      </w:r>
      <w:r w:rsidRPr="002801F8">
        <w:rPr>
          <w:rFonts w:ascii="Times New Roman" w:hAnsi="Times New Roman" w:cs="Times New Roman"/>
          <w:lang w:val="kk-KZ"/>
        </w:rPr>
        <w:t xml:space="preserve">чет өлкөлүк бөлүмгө таза инвестицияны хеджирлөөдө хеджирленген тобокелдик катары квалификацияланышы мүмкүн болгон валюталык тобокелдиктерге карата көрсөтмөлөрдү камтыйт. </w:t>
      </w:r>
    </w:p>
    <w:p w:rsidR="00F51E5E" w:rsidRPr="002801F8" w:rsidRDefault="00F51E5E" w:rsidP="00A33F48">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5</w:t>
      </w:r>
      <w:r w:rsidRPr="002801F8">
        <w:rPr>
          <w:rFonts w:ascii="Times New Roman" w:hAnsi="Times New Roman" w:cs="Times New Roman"/>
          <w:lang w:val="kk-KZ"/>
        </w:rPr>
        <w:tab/>
        <w:t xml:space="preserve">ФОЭС (IFRS) 9 ишкана тарабынан өз каалоосу боюнча финансылык инструментти (же туунду же туунду эмес финансылык инструменттердин айкалышын) валюталык тобокелдикти хеджирлөө инструменттери катары аныктоого жол берет. Ушул </w:t>
      </w:r>
      <w:r w:rsidR="00D217C5" w:rsidRPr="002801F8">
        <w:rPr>
          <w:rFonts w:ascii="Times New Roman" w:hAnsi="Times New Roman" w:cs="Times New Roman"/>
          <w:lang w:val="kk-KZ"/>
        </w:rPr>
        <w:t xml:space="preserve">түшүндүрмө </w:t>
      </w:r>
      <w:r w:rsidRPr="002801F8">
        <w:rPr>
          <w:rFonts w:ascii="Times New Roman" w:hAnsi="Times New Roman" w:cs="Times New Roman"/>
          <w:lang w:val="kk-KZ"/>
        </w:rPr>
        <w:t>топтун курамына кирген кайсы ишканаларда хеджирлөөнү эсепке алынышын колдонууну камсыз кылуу үчүн чет өлкөлүк бөлүмгө таза инвестицияны хеджирлөө инструменттери кармалышы мүмкүн боло тургандыгы тууралуу көрсөтмөлөрдү камтыйт.</w:t>
      </w:r>
      <w:r w:rsidRPr="002801F8">
        <w:rPr>
          <w:rFonts w:ascii="Times New Roman" w:hAnsi="Times New Roman" w:cs="Times New Roman"/>
          <w:lang w:val="kk-KZ"/>
        </w:rPr>
        <w:cr/>
      </w:r>
    </w:p>
    <w:p w:rsidR="00F51E5E" w:rsidRPr="002801F8" w:rsidRDefault="00F51E5E" w:rsidP="005133CB">
      <w:pPr>
        <w:spacing w:before="240" w:after="0"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lastRenderedPageBreak/>
        <w:t>6</w:t>
      </w:r>
      <w:r w:rsidRPr="002801F8">
        <w:rPr>
          <w:rFonts w:ascii="Times New Roman" w:hAnsi="Times New Roman" w:cs="Times New Roman"/>
          <w:lang w:val="kk-KZ"/>
        </w:rPr>
        <w:tab/>
        <w:t xml:space="preserve">ФОЭС (IAS) 21 жана ФОЭС (IFRS) 9 чет өлкөлүк бөлүмдүн натыйжаларын жана финансылык абалын  кайра эсептөөдө пайда болгон курстук айырмаларга да, тийиштүү таза инвестицияны хеджирлөөдө натыйжалуулугу белгиленген болуп саналган хеджирлөөнүн инструментинен түшкөн пайдаларга же зыяндарга да карата башка жыйынды кирешеде таанылган, топтолгон суммаларды менчик капиталдын курамынан башкы ишкана чет өлкөлүк бөлүмдүн иштен чыгышын тааныган кайра классификациялоочу оңдоп-түзөө катары пайданын же зыяндын курамына кайра классификациялоону талап кылат. Ушул </w:t>
      </w:r>
      <w:r w:rsidR="00D217C5" w:rsidRPr="002801F8">
        <w:rPr>
          <w:rFonts w:ascii="Times New Roman" w:hAnsi="Times New Roman" w:cs="Times New Roman"/>
          <w:lang w:val="kk-KZ"/>
        </w:rPr>
        <w:t xml:space="preserve">түшүндүрмө </w:t>
      </w:r>
      <w:r w:rsidRPr="002801F8">
        <w:rPr>
          <w:rFonts w:ascii="Times New Roman" w:hAnsi="Times New Roman" w:cs="Times New Roman"/>
          <w:lang w:val="kk-KZ"/>
        </w:rPr>
        <w:t>хеджирлөө инструментине, ошондой эле хеджирлөө объектине карата менчик капиталдын курамынан пайданын же зыяндын курамына кайра классификациялоону талап кылган суммаларды ишкана кантип эсепке алышы керектиги тууралуу көрсөтмөлөрдү камтыйт.</w:t>
      </w:r>
    </w:p>
    <w:p w:rsidR="00F51E5E" w:rsidRPr="005133CB" w:rsidRDefault="005133CB" w:rsidP="005133CB">
      <w:pPr>
        <w:pBdr>
          <w:bottom w:val="single" w:sz="4" w:space="1" w:color="auto"/>
        </w:pBdr>
        <w:spacing w:before="240"/>
        <w:jc w:val="both"/>
        <w:rPr>
          <w:rFonts w:ascii="Times New Roman" w:hAnsi="Times New Roman" w:cs="Times New Roman"/>
          <w:b/>
          <w:sz w:val="26"/>
          <w:lang w:val="kk-KZ"/>
        </w:rPr>
      </w:pPr>
      <w:r>
        <w:rPr>
          <w:rFonts w:ascii="Times New Roman" w:hAnsi="Times New Roman" w:cs="Times New Roman"/>
          <w:lang w:val="kk-KZ"/>
        </w:rPr>
        <w:t xml:space="preserve"> </w:t>
      </w:r>
      <w:r w:rsidR="00F51E5E" w:rsidRPr="005133CB">
        <w:rPr>
          <w:rFonts w:ascii="Times New Roman" w:hAnsi="Times New Roman" w:cs="Times New Roman"/>
          <w:b/>
          <w:sz w:val="26"/>
          <w:lang w:val="kk-KZ"/>
        </w:rPr>
        <w:t xml:space="preserve">Колдонуу чөйрөсү </w:t>
      </w:r>
    </w:p>
    <w:p w:rsidR="00F51E5E" w:rsidRPr="002801F8" w:rsidRDefault="00F51E5E" w:rsidP="005133CB">
      <w:pPr>
        <w:spacing w:after="0"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7</w:t>
      </w:r>
      <w:r w:rsidRPr="002801F8">
        <w:rPr>
          <w:rFonts w:ascii="Times New Roman" w:hAnsi="Times New Roman" w:cs="Times New Roman"/>
          <w:lang w:val="kk-KZ"/>
        </w:rPr>
        <w:tab/>
        <w:t xml:space="preserve">Ушул </w:t>
      </w:r>
      <w:r w:rsidR="00D217C5" w:rsidRPr="002801F8">
        <w:rPr>
          <w:rFonts w:ascii="Times New Roman" w:hAnsi="Times New Roman" w:cs="Times New Roman"/>
          <w:lang w:val="kk-KZ"/>
        </w:rPr>
        <w:t xml:space="preserve">түшүндүрмө </w:t>
      </w:r>
      <w:r w:rsidRPr="002801F8">
        <w:rPr>
          <w:rFonts w:ascii="Times New Roman" w:hAnsi="Times New Roman" w:cs="Times New Roman"/>
          <w:lang w:val="kk-KZ"/>
        </w:rPr>
        <w:t xml:space="preserve">чет өлкөлүк бөлүмдөргө анын таза инвестицияларына байланыштуу валюталык тобокелдикти хеджирлеген ишканага карата колдонулат жана ФОЭС (IFRS) 9га ылайык хеджирлөөнүн эсепке алынышын колдонуу критерийлерине ылайык келүүгө умтулат. Ыңгайлуулук үчүн, ушул </w:t>
      </w:r>
      <w:r w:rsidR="00D217C5" w:rsidRPr="002801F8">
        <w:rPr>
          <w:rFonts w:ascii="Times New Roman" w:hAnsi="Times New Roman" w:cs="Times New Roman"/>
          <w:lang w:val="kk-KZ"/>
        </w:rPr>
        <w:t xml:space="preserve">түшүндүрмөдө </w:t>
      </w:r>
      <w:r w:rsidRPr="002801F8">
        <w:rPr>
          <w:rFonts w:ascii="Times New Roman" w:hAnsi="Times New Roman" w:cs="Times New Roman"/>
          <w:lang w:val="kk-KZ"/>
        </w:rPr>
        <w:t>мындай ишкана башкы ишкана деп, ал эми чет өлкөлүк бөлүмдөрдүн таза активдери камтылган финансылык отчеттуулук бириктирилген финансылык отчеттуулук деп аталат. Башкы ишкана тууралуу бардык эскерүүлөр чет өлкөлүк бөлүмдөргө таза инвестициясы бар, биргелешкен ишкана, ассоциацияланган ишкана же филиал болуп саналган ишканага карата да колдонулушу мүмкүн.</w:t>
      </w:r>
      <w:r w:rsidRPr="002801F8">
        <w:rPr>
          <w:rFonts w:ascii="Times New Roman" w:hAnsi="Times New Roman" w:cs="Times New Roman"/>
          <w:lang w:val="kk-KZ"/>
        </w:rPr>
        <w:cr/>
      </w:r>
    </w:p>
    <w:p w:rsidR="00F51E5E" w:rsidRPr="002801F8" w:rsidRDefault="00F51E5E" w:rsidP="005133CB">
      <w:pPr>
        <w:spacing w:after="0"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8</w:t>
      </w:r>
      <w:r w:rsidRPr="002801F8">
        <w:rPr>
          <w:rFonts w:ascii="Times New Roman" w:hAnsi="Times New Roman" w:cs="Times New Roman"/>
          <w:lang w:val="kk-KZ"/>
        </w:rPr>
        <w:tab/>
        <w:t>Ушул түшүндүрмө  чет өлкөлүк бөлүмдөргө таза инвестицияларга карата гана колдонулат; аны хеджирлөөнү эсепке алуунун башка типтерине карата ошол сыяктуу эле колдонуу мүмкүн эмес.</w:t>
      </w:r>
    </w:p>
    <w:p w:rsidR="00F51E5E" w:rsidRPr="005133CB" w:rsidRDefault="00F51E5E" w:rsidP="005133CB">
      <w:pPr>
        <w:pBdr>
          <w:bottom w:val="single" w:sz="4" w:space="1" w:color="auto"/>
        </w:pBdr>
        <w:spacing w:before="240"/>
        <w:jc w:val="both"/>
        <w:rPr>
          <w:rFonts w:ascii="Times New Roman" w:hAnsi="Times New Roman" w:cs="Times New Roman"/>
          <w:b/>
          <w:sz w:val="26"/>
          <w:lang w:val="kk-KZ"/>
        </w:rPr>
      </w:pPr>
      <w:r w:rsidRPr="005133CB">
        <w:rPr>
          <w:rFonts w:ascii="Times New Roman" w:hAnsi="Times New Roman" w:cs="Times New Roman"/>
          <w:b/>
          <w:sz w:val="26"/>
          <w:lang w:val="kk-KZ"/>
        </w:rPr>
        <w:t xml:space="preserve">Суроолор </w:t>
      </w:r>
    </w:p>
    <w:p w:rsidR="00F51E5E" w:rsidRPr="002801F8" w:rsidRDefault="00F51E5E" w:rsidP="005133CB">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9</w:t>
      </w:r>
      <w:r w:rsidRPr="002801F8">
        <w:rPr>
          <w:rFonts w:ascii="Times New Roman" w:hAnsi="Times New Roman" w:cs="Times New Roman"/>
          <w:lang w:val="kk-KZ"/>
        </w:rPr>
        <w:tab/>
        <w:t xml:space="preserve">Чет өлкөлүк бөлүмдөргө инвестициялар башкы ишкана тарабынан түздөн-түз же кыйыр түрдө анын туунду ишканасы же туунду ишканалары аркылуу кармалышы мүмкүн. Ушул </w:t>
      </w:r>
      <w:r w:rsidR="00D217C5" w:rsidRPr="002801F8">
        <w:rPr>
          <w:rFonts w:ascii="Times New Roman" w:hAnsi="Times New Roman" w:cs="Times New Roman"/>
          <w:lang w:val="kk-KZ"/>
        </w:rPr>
        <w:t xml:space="preserve">түшүндүрмөдө </w:t>
      </w:r>
      <w:r w:rsidRPr="002801F8">
        <w:rPr>
          <w:rFonts w:ascii="Times New Roman" w:hAnsi="Times New Roman" w:cs="Times New Roman"/>
          <w:lang w:val="kk-KZ"/>
        </w:rPr>
        <w:t>төмөнкүдөй суроолор каралат:</w:t>
      </w:r>
    </w:p>
    <w:p w:rsidR="00F51E5E" w:rsidRPr="002801F8" w:rsidRDefault="00F51E5E" w:rsidP="005133CB">
      <w:pPr>
        <w:spacing w:line="240" w:lineRule="auto"/>
        <w:ind w:left="1410" w:hanging="705"/>
        <w:jc w:val="both"/>
        <w:rPr>
          <w:rFonts w:ascii="Times New Roman" w:hAnsi="Times New Roman" w:cs="Times New Roman"/>
          <w:lang w:val="kk-KZ"/>
        </w:rPr>
      </w:pPr>
      <w:r w:rsidRPr="002801F8">
        <w:rPr>
          <w:rFonts w:ascii="Times New Roman" w:hAnsi="Times New Roman" w:cs="Times New Roman"/>
          <w:lang w:val="kk-KZ"/>
        </w:rPr>
        <w:t>(a)</w:t>
      </w:r>
      <w:r w:rsidRPr="002801F8">
        <w:rPr>
          <w:rFonts w:ascii="Times New Roman" w:hAnsi="Times New Roman" w:cs="Times New Roman"/>
          <w:lang w:val="kk-KZ"/>
        </w:rPr>
        <w:tab/>
      </w:r>
      <w:r w:rsidRPr="005133CB">
        <w:rPr>
          <w:rFonts w:ascii="Times New Roman" w:hAnsi="Times New Roman" w:cs="Times New Roman"/>
          <w:i/>
          <w:lang w:val="kk-KZ"/>
        </w:rPr>
        <w:t>хеджирленген тобокелдиктин мүнөзү жана хеджирлөө объектисинин суммасы, алар үчүн ишкана өз каалоосу боюнча хеджирлөөнүн мамилелерин аныкташы мүмкүн</w:t>
      </w:r>
      <w:r w:rsidRPr="002801F8">
        <w:rPr>
          <w:rFonts w:ascii="Times New Roman" w:hAnsi="Times New Roman" w:cs="Times New Roman"/>
          <w:lang w:val="kk-KZ"/>
        </w:rPr>
        <w:t>:</w:t>
      </w:r>
    </w:p>
    <w:p w:rsidR="00F51E5E" w:rsidRPr="002801F8" w:rsidRDefault="00F51E5E" w:rsidP="005133CB">
      <w:pPr>
        <w:spacing w:line="240" w:lineRule="auto"/>
        <w:ind w:left="2124" w:hanging="711"/>
        <w:jc w:val="both"/>
        <w:rPr>
          <w:rFonts w:ascii="Times New Roman" w:hAnsi="Times New Roman" w:cs="Times New Roman"/>
          <w:lang w:val="kk-KZ"/>
        </w:rPr>
      </w:pPr>
      <w:r w:rsidRPr="002801F8">
        <w:rPr>
          <w:rFonts w:ascii="Times New Roman" w:hAnsi="Times New Roman" w:cs="Times New Roman"/>
          <w:lang w:val="kk-KZ"/>
        </w:rPr>
        <w:t>(i)</w:t>
      </w:r>
      <w:r w:rsidRPr="002801F8">
        <w:rPr>
          <w:rFonts w:ascii="Times New Roman" w:hAnsi="Times New Roman" w:cs="Times New Roman"/>
          <w:lang w:val="kk-KZ"/>
        </w:rPr>
        <w:tab/>
        <w:t>башкы ишкана хеджирленген тобокелдик катары башкы ишкананын жана анын чет өлкөлүк бөлүгүнүн колдонуудагы валюталарынын ортосундагы айырмага байланыштуу курстук айырмаларды гана өз каалоосу боюнча аныктай алабы, же ал хеджирленген тобокелдик катары башкы ишкананын бириктирилген финансылык отчеттуулукту тапшыруу валютасынын жана чет өлкөлүк бөлүмдүн колдонуудагы валютасынын ортосундагы айырмага байланыштуу курстук айырмаларды да аныктай алабы;</w:t>
      </w:r>
    </w:p>
    <w:p w:rsidR="00F51E5E" w:rsidRPr="002801F8" w:rsidRDefault="00F51E5E" w:rsidP="005133CB">
      <w:pPr>
        <w:spacing w:line="240" w:lineRule="auto"/>
        <w:ind w:left="2124" w:hanging="708"/>
        <w:jc w:val="both"/>
        <w:rPr>
          <w:rFonts w:ascii="Times New Roman" w:hAnsi="Times New Roman" w:cs="Times New Roman"/>
          <w:lang w:val="kk-KZ"/>
        </w:rPr>
      </w:pPr>
      <w:r w:rsidRPr="002801F8">
        <w:rPr>
          <w:rFonts w:ascii="Times New Roman" w:hAnsi="Times New Roman" w:cs="Times New Roman"/>
          <w:lang w:val="kk-KZ"/>
        </w:rPr>
        <w:t>(ii)</w:t>
      </w:r>
      <w:r w:rsidRPr="002801F8">
        <w:rPr>
          <w:rFonts w:ascii="Times New Roman" w:hAnsi="Times New Roman" w:cs="Times New Roman"/>
          <w:lang w:val="kk-KZ"/>
        </w:rPr>
        <w:tab/>
        <w:t>эгерде башкы ишкана чет өлкөлүк бөлүмгө кыйыр түрдө ээлик кылса, хеджирленген тобокелдик чет өлкөлүк бөлүмдүн жана анын түздөн-түз башкы ишканасынын ортосундагы колдонуудагы валюталарындагы айырмага байланыштуу курстук айырмаларды гана камтый алабы, же хеджирленип жаткан тобокелдик чет өлкөлүк бөлүмдүн колдонуудагы валютасынын жана анын кандай болбосун ортодогу же акыркы башкы ишкананын колдонуудагы валютасынын ортосундагы курстук айырмаларды да камтый алабы (башкача айтканда, чет өлкөлүк бөлүмгө таза инвестициялар ортодогу башкы ишкана аркылуу жүзөгө ашырылгандыгы акыркы башкы ишкананын экономикалык тобокелдигине таасир этеби).</w:t>
      </w:r>
    </w:p>
    <w:p w:rsidR="00F51E5E" w:rsidRPr="002801F8" w:rsidRDefault="00F51E5E" w:rsidP="005133CB">
      <w:pPr>
        <w:spacing w:line="240" w:lineRule="auto"/>
        <w:ind w:left="1413" w:hanging="705"/>
        <w:jc w:val="both"/>
        <w:rPr>
          <w:rFonts w:ascii="Times New Roman" w:hAnsi="Times New Roman" w:cs="Times New Roman"/>
          <w:lang w:val="kk-KZ"/>
        </w:rPr>
      </w:pPr>
      <w:r w:rsidRPr="002801F8">
        <w:rPr>
          <w:rFonts w:ascii="Times New Roman" w:hAnsi="Times New Roman" w:cs="Times New Roman"/>
          <w:lang w:val="kk-KZ"/>
        </w:rPr>
        <w:lastRenderedPageBreak/>
        <w:t>(b)</w:t>
      </w:r>
      <w:r w:rsidRPr="002801F8">
        <w:rPr>
          <w:rFonts w:ascii="Times New Roman" w:hAnsi="Times New Roman" w:cs="Times New Roman"/>
          <w:lang w:val="kk-KZ"/>
        </w:rPr>
        <w:tab/>
      </w:r>
      <w:r w:rsidRPr="005133CB">
        <w:rPr>
          <w:rFonts w:ascii="Times New Roman" w:hAnsi="Times New Roman" w:cs="Times New Roman"/>
          <w:i/>
          <w:lang w:val="kk-KZ"/>
        </w:rPr>
        <w:t>топтун курамына кирген кайсы ишканада хеджирлөөнүн тиешелүү инструменти кармалышы мүмкүн</w:t>
      </w:r>
      <w:r w:rsidRPr="002801F8">
        <w:rPr>
          <w:rFonts w:ascii="Times New Roman" w:hAnsi="Times New Roman" w:cs="Times New Roman"/>
          <w:lang w:val="kk-KZ"/>
        </w:rPr>
        <w:t xml:space="preserve">: </w:t>
      </w:r>
    </w:p>
    <w:p w:rsidR="00F51E5E" w:rsidRPr="002801F8" w:rsidRDefault="00F51E5E" w:rsidP="005133CB">
      <w:pPr>
        <w:spacing w:line="240" w:lineRule="auto"/>
        <w:ind w:left="2124" w:hanging="708"/>
        <w:jc w:val="both"/>
        <w:rPr>
          <w:rFonts w:ascii="Times New Roman" w:hAnsi="Times New Roman" w:cs="Times New Roman"/>
          <w:lang w:val="kk-KZ"/>
        </w:rPr>
      </w:pPr>
      <w:r w:rsidRPr="002801F8">
        <w:rPr>
          <w:rFonts w:ascii="Times New Roman" w:hAnsi="Times New Roman" w:cs="Times New Roman"/>
          <w:lang w:val="kk-KZ"/>
        </w:rPr>
        <w:t>(i)</w:t>
      </w:r>
      <w:r w:rsidRPr="002801F8">
        <w:rPr>
          <w:rFonts w:ascii="Times New Roman" w:hAnsi="Times New Roman" w:cs="Times New Roman"/>
          <w:lang w:val="kk-KZ"/>
        </w:rPr>
        <w:tab/>
        <w:t xml:space="preserve"> өзүнүн таза инвестицияларын хеджирлеген ишкана хеджирлөөнүн инструменти боюнча тарап болуп саналса, же болбосо хеджирлөө инструменти анын колдонуудагы валютасына карабастан, кандай болбосун ишкана тарабынан топто кармалышы мүмкүн болсо, хеджирлөөнүн мамилелери хеджирлөөнүн эсепке алынышын колдонуу критерийлерине ылайык келе алабы;</w:t>
      </w:r>
    </w:p>
    <w:p w:rsidR="00F51E5E" w:rsidRPr="002801F8" w:rsidRDefault="00F51E5E" w:rsidP="005133CB">
      <w:pPr>
        <w:spacing w:line="240" w:lineRule="auto"/>
        <w:ind w:left="2124" w:hanging="708"/>
        <w:jc w:val="both"/>
        <w:rPr>
          <w:rFonts w:ascii="Times New Roman" w:hAnsi="Times New Roman" w:cs="Times New Roman"/>
          <w:lang w:val="kk-KZ"/>
        </w:rPr>
      </w:pPr>
      <w:r w:rsidRPr="002801F8">
        <w:rPr>
          <w:rFonts w:ascii="Times New Roman" w:hAnsi="Times New Roman" w:cs="Times New Roman"/>
          <w:lang w:val="kk-KZ"/>
        </w:rPr>
        <w:t>(ii)</w:t>
      </w:r>
      <w:r w:rsidRPr="002801F8">
        <w:rPr>
          <w:rFonts w:ascii="Times New Roman" w:hAnsi="Times New Roman" w:cs="Times New Roman"/>
          <w:lang w:val="kk-KZ"/>
        </w:rPr>
        <w:tab/>
        <w:t>хеджирлөө инструментинин мүнөзү (туунду же туунду эмес) же консолидациялоо методу хеджирлөөнүн натыйжалуулугун баалоого таасир этеби.</w:t>
      </w:r>
    </w:p>
    <w:p w:rsidR="00F51E5E" w:rsidRPr="002801F8" w:rsidRDefault="00F51E5E" w:rsidP="005133CB">
      <w:pPr>
        <w:spacing w:line="240" w:lineRule="auto"/>
        <w:ind w:left="1413" w:hanging="705"/>
        <w:jc w:val="both"/>
        <w:rPr>
          <w:rFonts w:ascii="Times New Roman" w:hAnsi="Times New Roman" w:cs="Times New Roman"/>
          <w:lang w:val="kk-KZ"/>
        </w:rPr>
      </w:pPr>
      <w:r w:rsidRPr="002801F8">
        <w:rPr>
          <w:rFonts w:ascii="Times New Roman" w:hAnsi="Times New Roman" w:cs="Times New Roman"/>
          <w:lang w:val="kk-KZ"/>
        </w:rPr>
        <w:t>(c)</w:t>
      </w:r>
      <w:r w:rsidRPr="002801F8">
        <w:rPr>
          <w:rFonts w:ascii="Times New Roman" w:hAnsi="Times New Roman" w:cs="Times New Roman"/>
          <w:lang w:val="kk-KZ"/>
        </w:rPr>
        <w:tab/>
      </w:r>
      <w:r w:rsidRPr="005133CB">
        <w:rPr>
          <w:rFonts w:ascii="Times New Roman" w:hAnsi="Times New Roman" w:cs="Times New Roman"/>
          <w:i/>
          <w:lang w:val="kk-KZ"/>
        </w:rPr>
        <w:t>чет өлкөлүк бөлүмдүн иштен чыгып калышында кайра классификацияланган оңдоп-түзөөлөр катары кандай суммалар менчик капиталдын курамынан пайданын же зыяндын курамына кайра классификацияланышы керек</w:t>
      </w:r>
      <w:r w:rsidRPr="002801F8">
        <w:rPr>
          <w:rFonts w:ascii="Times New Roman" w:hAnsi="Times New Roman" w:cs="Times New Roman"/>
          <w:lang w:val="kk-KZ"/>
        </w:rPr>
        <w:t>:</w:t>
      </w:r>
    </w:p>
    <w:p w:rsidR="00F51E5E" w:rsidRPr="002801F8" w:rsidRDefault="00F51E5E" w:rsidP="005133CB">
      <w:pPr>
        <w:spacing w:line="240" w:lineRule="auto"/>
        <w:ind w:left="2133" w:hanging="720"/>
        <w:jc w:val="both"/>
        <w:rPr>
          <w:rFonts w:ascii="Times New Roman" w:hAnsi="Times New Roman" w:cs="Times New Roman"/>
          <w:lang w:val="kk-KZ"/>
        </w:rPr>
      </w:pPr>
      <w:r w:rsidRPr="002801F8">
        <w:rPr>
          <w:rFonts w:ascii="Times New Roman" w:hAnsi="Times New Roman" w:cs="Times New Roman"/>
          <w:lang w:val="kk-KZ"/>
        </w:rPr>
        <w:t>(i)</w:t>
      </w:r>
      <w:r w:rsidRPr="002801F8">
        <w:rPr>
          <w:rFonts w:ascii="Times New Roman" w:hAnsi="Times New Roman" w:cs="Times New Roman"/>
          <w:lang w:val="kk-KZ"/>
        </w:rPr>
        <w:tab/>
        <w:t>хеджирленип жаткан чет өлкөлүк бөлүм чыгып жатканда, хеджирлөө инструментине таандык жана ушул чет өлкөлүк бөлүмгө таандык чет өлкөлүк валютаны кайра эсептөө боюнча резервдеги башкы ишкана тарабынан таанылган кандай суммалар башкы ишкананын бириктирилген финансылык отчеттуулугунда өздүк капиталдын курамынан пайданын же зыяндын курамына кайра классификацияланышы керек;</w:t>
      </w:r>
    </w:p>
    <w:p w:rsidR="00F51E5E" w:rsidRPr="002801F8" w:rsidRDefault="00F51E5E" w:rsidP="005133CB">
      <w:pPr>
        <w:spacing w:line="240" w:lineRule="auto"/>
        <w:ind w:left="2124" w:hanging="708"/>
        <w:jc w:val="both"/>
        <w:rPr>
          <w:rFonts w:ascii="Times New Roman" w:hAnsi="Times New Roman" w:cs="Times New Roman"/>
          <w:lang w:val="kk-KZ"/>
        </w:rPr>
      </w:pPr>
      <w:r w:rsidRPr="002801F8">
        <w:rPr>
          <w:rFonts w:ascii="Times New Roman" w:hAnsi="Times New Roman" w:cs="Times New Roman"/>
          <w:lang w:val="kk-KZ"/>
        </w:rPr>
        <w:t>(ii)</w:t>
      </w:r>
      <w:r w:rsidRPr="002801F8">
        <w:rPr>
          <w:rFonts w:ascii="Times New Roman" w:hAnsi="Times New Roman" w:cs="Times New Roman"/>
          <w:lang w:val="kk-KZ"/>
        </w:rPr>
        <w:tab/>
        <w:t>консолидациялоо методу менчик капиталдын курамынан пайданын же зыяндын курамына кайра классификацияланууга тийиш болгон суммаларды аныктоого таасир этеби.</w:t>
      </w:r>
    </w:p>
    <w:p w:rsidR="00F51E5E" w:rsidRPr="005133CB" w:rsidRDefault="00F51E5E" w:rsidP="005133CB">
      <w:pPr>
        <w:pBdr>
          <w:bottom w:val="single" w:sz="4" w:space="1" w:color="auto"/>
        </w:pBdr>
        <w:spacing w:line="240" w:lineRule="auto"/>
        <w:jc w:val="both"/>
        <w:rPr>
          <w:rFonts w:ascii="Times New Roman" w:hAnsi="Times New Roman" w:cs="Times New Roman"/>
          <w:b/>
          <w:sz w:val="26"/>
          <w:lang w:val="kk-KZ"/>
        </w:rPr>
      </w:pPr>
      <w:r w:rsidRPr="005133CB">
        <w:rPr>
          <w:rFonts w:ascii="Times New Roman" w:hAnsi="Times New Roman" w:cs="Times New Roman"/>
          <w:b/>
          <w:sz w:val="26"/>
          <w:lang w:val="kk-KZ"/>
        </w:rPr>
        <w:t>Консенсус</w:t>
      </w:r>
    </w:p>
    <w:p w:rsidR="00F51E5E" w:rsidRPr="005133CB" w:rsidRDefault="00F51E5E" w:rsidP="005133CB">
      <w:pPr>
        <w:spacing w:line="240" w:lineRule="auto"/>
        <w:ind w:left="705"/>
        <w:jc w:val="both"/>
        <w:rPr>
          <w:rFonts w:ascii="Times New Roman" w:hAnsi="Times New Roman" w:cs="Times New Roman"/>
          <w:b/>
          <w:sz w:val="26"/>
          <w:lang w:val="kk-KZ"/>
        </w:rPr>
      </w:pPr>
      <w:r w:rsidRPr="005133CB">
        <w:rPr>
          <w:rFonts w:ascii="Times New Roman" w:hAnsi="Times New Roman" w:cs="Times New Roman"/>
          <w:b/>
          <w:sz w:val="26"/>
          <w:lang w:val="kk-KZ"/>
        </w:rPr>
        <w:t xml:space="preserve">Ишкана өз каалоосу менен хеджирлөөнүн мамилелерин аныктай алган хеджирленген тобокелдиктин мүнөзү жана хеджирлөө объектисинин суммасы </w:t>
      </w:r>
    </w:p>
    <w:p w:rsidR="00F51E5E" w:rsidRPr="002801F8" w:rsidRDefault="00F51E5E" w:rsidP="005133CB">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10</w:t>
      </w:r>
      <w:r w:rsidRPr="002801F8">
        <w:rPr>
          <w:rFonts w:ascii="Times New Roman" w:hAnsi="Times New Roman" w:cs="Times New Roman"/>
          <w:lang w:val="kk-KZ"/>
        </w:rPr>
        <w:tab/>
        <w:t>Чет өлкөлүк бөлүмдүн колдонуудагы валютасы менен башкы ишкананын колдонуудагы валютасынын ортосунда пайда болгон курстук айырмаларга карата гана хеджирлөөнү эсепке алуу колдонулушу мүмкүн.</w:t>
      </w:r>
    </w:p>
    <w:p w:rsidR="00F51E5E" w:rsidRPr="002801F8" w:rsidRDefault="00F51E5E" w:rsidP="005133CB">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11</w:t>
      </w:r>
      <w:r w:rsidRPr="002801F8">
        <w:rPr>
          <w:rFonts w:ascii="Times New Roman" w:hAnsi="Times New Roman" w:cs="Times New Roman"/>
          <w:lang w:val="kk-KZ"/>
        </w:rPr>
        <w:tab/>
        <w:t>Чет өлкөлүк бөлүмгө таза инвестицияга байланыштуу валюталык тобокелдиктерди хеджирлөөдө хеджирлөөнүн объекти башкы ишкананын бириктирилген финансылык отчеттуулугунда чет өлкөлүк бөлүмдүн таза активдеринин баланстык наркына тең же андан кем таза активдердин суммасы болушу мүмкүн. Башкы ишкананын бириктирилген финансылык отчеттуулугунда хеджирлөөнүн объекти катары ишкананын каалоосу боюнча аныктала турган чет өлкөлүк бөлүмдүн таза активдеринин баланстык наркы ушул чет өлкөлүк бөлүм үчүн башкы ишкана болуп, бирок алда канча төмөнкү деңгээлдеги деп саналган кандайдыр бир ишкана ушул чет өлкөлүк бөлүмдүн бардык таза активдерине же алардын бир бөлүгүнө карата хеджирлөөнү эсепке алууну колдонгондугунан, жана ушул эсепке алуу башкы ишкананын бириктирилген финансылык отчеттуулугунда сакталгандыгына байланыштуу болот.</w:t>
      </w:r>
    </w:p>
    <w:p w:rsidR="00F51E5E" w:rsidRPr="002801F8" w:rsidRDefault="00F51E5E" w:rsidP="005133CB">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t>12</w:t>
      </w:r>
      <w:r w:rsidRPr="002801F8">
        <w:rPr>
          <w:rFonts w:ascii="Times New Roman" w:hAnsi="Times New Roman" w:cs="Times New Roman"/>
          <w:lang w:val="kk-KZ"/>
        </w:rPr>
        <w:tab/>
        <w:t>Хеджирленген тобокелдик ишкананын каалоосу боюнча чет өлкөлүк бөлүмдүн колдонуудагы валютасынын жана ушул чет өлкөлүк бөлүмдүн кандай болбосун башкы ишканасынын (тикелей, ортолук же акыркы башкы ишкананын) колдонуудагы валютасынын ортосундагы айырмага байланыштуу валюталык тобокелдик катары аныкталышы мүмкүн. Таза инвестиция ортолук башкы ишкана аркылуу кармалып жаткандыгы акыркы башкы ишкана  үчүн валюталык тобокелдикке байланыштуу экономикалык тобокелдиктин мүнөзүнө таасир этпейт.</w:t>
      </w:r>
    </w:p>
    <w:p w:rsidR="00F51E5E" w:rsidRPr="002801F8" w:rsidRDefault="00F51E5E" w:rsidP="005133CB">
      <w:pPr>
        <w:spacing w:line="240" w:lineRule="auto"/>
        <w:ind w:left="705" w:hanging="705"/>
        <w:jc w:val="both"/>
        <w:rPr>
          <w:rFonts w:ascii="Times New Roman" w:hAnsi="Times New Roman" w:cs="Times New Roman"/>
          <w:lang w:val="kk-KZ"/>
        </w:rPr>
      </w:pPr>
      <w:r w:rsidRPr="002801F8">
        <w:rPr>
          <w:rFonts w:ascii="Times New Roman" w:hAnsi="Times New Roman" w:cs="Times New Roman"/>
          <w:lang w:val="kk-KZ"/>
        </w:rPr>
        <w:lastRenderedPageBreak/>
        <w:t>13</w:t>
      </w:r>
      <w:r w:rsidRPr="002801F8">
        <w:rPr>
          <w:rFonts w:ascii="Times New Roman" w:hAnsi="Times New Roman" w:cs="Times New Roman"/>
          <w:lang w:val="kk-KZ"/>
        </w:rPr>
        <w:tab/>
        <w:t>Чет өлкөлүк бөлүмгө таза инвестицияга байланыштуу валюталык тобокелдикке тартылуу бириктирилген финансылык отчеттуулуктун максаттары үчүн хеджирлөөнүн эсепке алынышын колдонуу критерийлерине бирден ашык эмес жолу ылайык келиши мүмкүн. Мындан улам, чет өлкөлүк бөлүмдүн бир эле таза активдери топтун алкагында бир эле тобокелдикке карата бир нече башкы ишканалар тарабынан хеджирленсе (мисалы, тикелей, кыйыр да башкы ишкана тарабынан), хеджирлөөнүн ушул мамилелеринин бир гана акыркы башкы ишкананын бириктирилген финансылык отчеттуулугунда аларды чагылдыруу үчүн хеджирлөөнүн эсепке алынышын колдонуу критерийлерине ылайык келет. Бир башкы ишкананын өз каалоосу боюнча анын бириктирилген финансылык отчеттуулугунда аныкталган хеджирлөөнүн мамилелери сөзсүз эле башка алда канча жогорку деңгээлдеги башкы ишкана тарабынан сакталууга тийиш эмес. Бирок алар кыйла жогору деңгээлдеги башкы ишкана тарабынан сакталбаса, кыйла төмөн деңгээлдеги башкы ишкана тарабынан колдонулган хеджирлөөнүн эсепке алынышы кыйла жогору деңгээлдеги башкы ишканада хеджирлөөнүн эсепке алынышын таануудан мурда элиминацияланышы керек.</w:t>
      </w:r>
    </w:p>
    <w:p w:rsidR="00F51E5E" w:rsidRPr="005133CB" w:rsidRDefault="00F51E5E" w:rsidP="005133CB">
      <w:pPr>
        <w:spacing w:line="240" w:lineRule="auto"/>
        <w:ind w:left="705"/>
        <w:jc w:val="both"/>
        <w:rPr>
          <w:rFonts w:ascii="Times New Roman" w:hAnsi="Times New Roman" w:cs="Times New Roman"/>
          <w:b/>
          <w:sz w:val="26"/>
        </w:rPr>
      </w:pPr>
      <w:r w:rsidRPr="005133CB">
        <w:rPr>
          <w:rFonts w:ascii="Times New Roman" w:hAnsi="Times New Roman" w:cs="Times New Roman"/>
          <w:b/>
          <w:sz w:val="26"/>
        </w:rPr>
        <w:t xml:space="preserve">Топтун </w:t>
      </w:r>
      <w:proofErr w:type="spellStart"/>
      <w:r w:rsidRPr="005133CB">
        <w:rPr>
          <w:rFonts w:ascii="Times New Roman" w:hAnsi="Times New Roman" w:cs="Times New Roman"/>
          <w:b/>
          <w:sz w:val="26"/>
        </w:rPr>
        <w:t>курамына</w:t>
      </w:r>
      <w:proofErr w:type="spellEnd"/>
      <w:r w:rsidRPr="005133CB">
        <w:rPr>
          <w:rFonts w:ascii="Times New Roman" w:hAnsi="Times New Roman" w:cs="Times New Roman"/>
          <w:b/>
          <w:sz w:val="26"/>
        </w:rPr>
        <w:t xml:space="preserve"> </w:t>
      </w:r>
      <w:proofErr w:type="spellStart"/>
      <w:r w:rsidRPr="005133CB">
        <w:rPr>
          <w:rFonts w:ascii="Times New Roman" w:hAnsi="Times New Roman" w:cs="Times New Roman"/>
          <w:b/>
          <w:sz w:val="26"/>
        </w:rPr>
        <w:t>кирген</w:t>
      </w:r>
      <w:proofErr w:type="spellEnd"/>
      <w:r w:rsidRPr="005133CB">
        <w:rPr>
          <w:rFonts w:ascii="Times New Roman" w:hAnsi="Times New Roman" w:cs="Times New Roman"/>
          <w:b/>
          <w:sz w:val="26"/>
        </w:rPr>
        <w:t xml:space="preserve"> </w:t>
      </w:r>
      <w:proofErr w:type="spellStart"/>
      <w:r w:rsidRPr="005133CB">
        <w:rPr>
          <w:rFonts w:ascii="Times New Roman" w:hAnsi="Times New Roman" w:cs="Times New Roman"/>
          <w:b/>
          <w:sz w:val="26"/>
        </w:rPr>
        <w:t>кайсы</w:t>
      </w:r>
      <w:proofErr w:type="spellEnd"/>
      <w:r w:rsidRPr="005133CB">
        <w:rPr>
          <w:rFonts w:ascii="Times New Roman" w:hAnsi="Times New Roman" w:cs="Times New Roman"/>
          <w:b/>
          <w:sz w:val="26"/>
        </w:rPr>
        <w:t xml:space="preserve"> </w:t>
      </w:r>
      <w:proofErr w:type="spellStart"/>
      <w:r w:rsidRPr="005133CB">
        <w:rPr>
          <w:rFonts w:ascii="Times New Roman" w:hAnsi="Times New Roman" w:cs="Times New Roman"/>
          <w:b/>
          <w:sz w:val="26"/>
        </w:rPr>
        <w:t>ишканаларда</w:t>
      </w:r>
      <w:proofErr w:type="spellEnd"/>
      <w:r w:rsidRPr="005133CB">
        <w:rPr>
          <w:rFonts w:ascii="Times New Roman" w:hAnsi="Times New Roman" w:cs="Times New Roman"/>
          <w:b/>
          <w:sz w:val="26"/>
        </w:rPr>
        <w:t xml:space="preserve"> </w:t>
      </w:r>
      <w:proofErr w:type="spellStart"/>
      <w:r w:rsidRPr="005133CB">
        <w:rPr>
          <w:rFonts w:ascii="Times New Roman" w:hAnsi="Times New Roman" w:cs="Times New Roman"/>
          <w:b/>
          <w:sz w:val="26"/>
        </w:rPr>
        <w:t>хеджирлөө</w:t>
      </w:r>
      <w:proofErr w:type="spellEnd"/>
      <w:r w:rsidRPr="005133CB">
        <w:rPr>
          <w:rFonts w:ascii="Times New Roman" w:hAnsi="Times New Roman" w:cs="Times New Roman"/>
          <w:b/>
          <w:sz w:val="26"/>
        </w:rPr>
        <w:t xml:space="preserve"> </w:t>
      </w:r>
      <w:proofErr w:type="spellStart"/>
      <w:r w:rsidRPr="005133CB">
        <w:rPr>
          <w:rFonts w:ascii="Times New Roman" w:hAnsi="Times New Roman" w:cs="Times New Roman"/>
          <w:b/>
          <w:sz w:val="26"/>
        </w:rPr>
        <w:t>инструменти</w:t>
      </w:r>
      <w:proofErr w:type="spellEnd"/>
      <w:r w:rsidRPr="005133CB">
        <w:rPr>
          <w:rFonts w:ascii="Times New Roman" w:hAnsi="Times New Roman" w:cs="Times New Roman"/>
          <w:b/>
          <w:sz w:val="26"/>
        </w:rPr>
        <w:t xml:space="preserve"> </w:t>
      </w:r>
      <w:proofErr w:type="spellStart"/>
      <w:r w:rsidRPr="005133CB">
        <w:rPr>
          <w:rFonts w:ascii="Times New Roman" w:hAnsi="Times New Roman" w:cs="Times New Roman"/>
          <w:b/>
          <w:sz w:val="26"/>
        </w:rPr>
        <w:t>кармалышы</w:t>
      </w:r>
      <w:proofErr w:type="spellEnd"/>
      <w:r w:rsidRPr="005133CB">
        <w:rPr>
          <w:rFonts w:ascii="Times New Roman" w:hAnsi="Times New Roman" w:cs="Times New Roman"/>
          <w:b/>
          <w:sz w:val="26"/>
        </w:rPr>
        <w:t xml:space="preserve"> </w:t>
      </w:r>
      <w:proofErr w:type="spellStart"/>
      <w:r w:rsidRPr="005133CB">
        <w:rPr>
          <w:rFonts w:ascii="Times New Roman" w:hAnsi="Times New Roman" w:cs="Times New Roman"/>
          <w:b/>
          <w:sz w:val="26"/>
        </w:rPr>
        <w:t>мүмкүн</w:t>
      </w:r>
      <w:proofErr w:type="spellEnd"/>
      <w:r w:rsidRPr="005133CB">
        <w:rPr>
          <w:rFonts w:ascii="Times New Roman" w:hAnsi="Times New Roman" w:cs="Times New Roman"/>
          <w:b/>
          <w:sz w:val="26"/>
        </w:rPr>
        <w:t xml:space="preserve"> </w:t>
      </w:r>
    </w:p>
    <w:p w:rsidR="00F51E5E" w:rsidRPr="002801F8" w:rsidRDefault="00F51E5E" w:rsidP="00A33F48">
      <w:pPr>
        <w:spacing w:after="0" w:line="240" w:lineRule="auto"/>
        <w:ind w:left="705" w:hanging="705"/>
        <w:jc w:val="both"/>
        <w:rPr>
          <w:rFonts w:ascii="Times New Roman" w:hAnsi="Times New Roman" w:cs="Times New Roman"/>
        </w:rPr>
      </w:pPr>
      <w:r w:rsidRPr="002801F8">
        <w:rPr>
          <w:rFonts w:ascii="Times New Roman" w:hAnsi="Times New Roman" w:cs="Times New Roman"/>
        </w:rPr>
        <w:t>14</w:t>
      </w:r>
      <w:r w:rsidRPr="002801F8">
        <w:rPr>
          <w:rFonts w:ascii="Times New Roman" w:hAnsi="Times New Roman" w:cs="Times New Roman"/>
        </w:rPr>
        <w:tab/>
      </w:r>
      <w:proofErr w:type="spellStart"/>
      <w:r w:rsidRPr="002801F8">
        <w:rPr>
          <w:rFonts w:ascii="Times New Roman" w:hAnsi="Times New Roman" w:cs="Times New Roman"/>
        </w:rPr>
        <w:t>Туунду</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туунду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эмес</w:t>
      </w:r>
      <w:proofErr w:type="spellEnd"/>
      <w:r w:rsidRPr="002801F8">
        <w:rPr>
          <w:rFonts w:ascii="Times New Roman" w:hAnsi="Times New Roman" w:cs="Times New Roman"/>
        </w:rPr>
        <w:t xml:space="preserve"> инструмент (же </w:t>
      </w:r>
      <w:proofErr w:type="spellStart"/>
      <w:r w:rsidRPr="002801F8">
        <w:rPr>
          <w:rFonts w:ascii="Times New Roman" w:hAnsi="Times New Roman" w:cs="Times New Roman"/>
        </w:rPr>
        <w:t>туунду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туунду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эмес</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инструменттердин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айкалышы</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бөлүмгө</w:t>
      </w:r>
      <w:proofErr w:type="spellEnd"/>
      <w:r w:rsidRPr="002801F8">
        <w:rPr>
          <w:rFonts w:ascii="Times New Roman" w:hAnsi="Times New Roman" w:cs="Times New Roman"/>
        </w:rPr>
        <w:t xml:space="preserve"> таза </w:t>
      </w:r>
      <w:proofErr w:type="spellStart"/>
      <w:r w:rsidRPr="002801F8">
        <w:rPr>
          <w:rFonts w:ascii="Times New Roman" w:hAnsi="Times New Roman" w:cs="Times New Roman"/>
        </w:rPr>
        <w:t>инвестицияны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w:t>
      </w:r>
      <w:proofErr w:type="spellEnd"/>
      <w:r w:rsidRPr="002801F8">
        <w:rPr>
          <w:rFonts w:ascii="Times New Roman" w:hAnsi="Times New Roman" w:cs="Times New Roman"/>
        </w:rPr>
        <w:t xml:space="preserve"> катары </w:t>
      </w:r>
      <w:proofErr w:type="spellStart"/>
      <w:r w:rsidRPr="002801F8">
        <w:rPr>
          <w:rFonts w:ascii="Times New Roman" w:hAnsi="Times New Roman" w:cs="Times New Roman"/>
        </w:rPr>
        <w:t>ишкананын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каалоосу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аныкталышы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инструменттери</w:t>
      </w:r>
      <w:proofErr w:type="spellEnd"/>
      <w:r w:rsidRPr="002801F8">
        <w:rPr>
          <w:rFonts w:ascii="Times New Roman" w:hAnsi="Times New Roman" w:cs="Times New Roman"/>
        </w:rPr>
        <w:t xml:space="preserve">) таза </w:t>
      </w:r>
      <w:proofErr w:type="spellStart"/>
      <w:r w:rsidRPr="002801F8">
        <w:rPr>
          <w:rFonts w:ascii="Times New Roman" w:hAnsi="Times New Roman" w:cs="Times New Roman"/>
        </w:rPr>
        <w:t>инвестицияны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хеджирлөөгө</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колдонулуучу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мамилелеринин</w:t>
      </w:r>
      <w:proofErr w:type="spellEnd"/>
      <w:r w:rsidRPr="002801F8">
        <w:rPr>
          <w:rFonts w:ascii="Times New Roman" w:hAnsi="Times New Roman" w:cs="Times New Roman"/>
        </w:rPr>
        <w:t xml:space="preserve"> документ </w:t>
      </w:r>
      <w:proofErr w:type="spellStart"/>
      <w:r w:rsidRPr="002801F8">
        <w:rPr>
          <w:rFonts w:ascii="Times New Roman" w:hAnsi="Times New Roman" w:cs="Times New Roman"/>
        </w:rPr>
        <w:t>менен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жол-жоболоштуруусун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натыйжалуулугун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каалоосу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аныктоо</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бөлүгүндө</w:t>
      </w:r>
      <w:proofErr w:type="spellEnd"/>
      <w:r w:rsidRPr="002801F8">
        <w:rPr>
          <w:rFonts w:ascii="Times New Roman" w:hAnsi="Times New Roman" w:cs="Times New Roman"/>
        </w:rPr>
        <w:t xml:space="preserve"> ФОЭС (IFRS) 9дун 6.4.1-пунктунун </w:t>
      </w:r>
      <w:proofErr w:type="spellStart"/>
      <w:r w:rsidRPr="002801F8">
        <w:rPr>
          <w:rFonts w:ascii="Times New Roman" w:hAnsi="Times New Roman" w:cs="Times New Roman"/>
        </w:rPr>
        <w:t>талаптары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аткарылса</w:t>
      </w:r>
      <w:proofErr w:type="spellEnd"/>
      <w:r w:rsidRPr="002801F8">
        <w:rPr>
          <w:rFonts w:ascii="Times New Roman" w:hAnsi="Times New Roman" w:cs="Times New Roman"/>
        </w:rPr>
        <w:t xml:space="preserve">, топтун </w:t>
      </w:r>
      <w:proofErr w:type="spellStart"/>
      <w:r w:rsidRPr="002801F8">
        <w:rPr>
          <w:rFonts w:ascii="Times New Roman" w:hAnsi="Times New Roman" w:cs="Times New Roman"/>
        </w:rPr>
        <w:t>курамындагы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кандай</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болбосун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ишканалар</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тарабынан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кармалышы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Тактап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айтканда</w:t>
      </w:r>
      <w:proofErr w:type="spellEnd"/>
      <w:r w:rsidRPr="002801F8">
        <w:rPr>
          <w:rFonts w:ascii="Times New Roman" w:hAnsi="Times New Roman" w:cs="Times New Roman"/>
        </w:rPr>
        <w:t xml:space="preserve">, топтун ар </w:t>
      </w:r>
      <w:proofErr w:type="spellStart"/>
      <w:r w:rsidRPr="002801F8">
        <w:rPr>
          <w:rFonts w:ascii="Times New Roman" w:hAnsi="Times New Roman" w:cs="Times New Roman"/>
        </w:rPr>
        <w:t>кандай</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деңгээлдеринде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мамилелери</w:t>
      </w:r>
      <w:proofErr w:type="spellEnd"/>
      <w:r w:rsidRPr="002801F8">
        <w:rPr>
          <w:rFonts w:ascii="Times New Roman" w:hAnsi="Times New Roman" w:cs="Times New Roman"/>
        </w:rPr>
        <w:t xml:space="preserve"> ар </w:t>
      </w:r>
      <w:proofErr w:type="spellStart"/>
      <w:r w:rsidRPr="002801F8">
        <w:rPr>
          <w:rFonts w:ascii="Times New Roman" w:hAnsi="Times New Roman" w:cs="Times New Roman"/>
        </w:rPr>
        <w:t>кандай</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аныкталышы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болгондуктан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топту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так </w:t>
      </w:r>
      <w:proofErr w:type="spellStart"/>
      <w:r w:rsidRPr="002801F8">
        <w:rPr>
          <w:rFonts w:ascii="Times New Roman" w:hAnsi="Times New Roman" w:cs="Times New Roman"/>
        </w:rPr>
        <w:t>документалдуу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стратегиясы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болушу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w:t>
      </w:r>
      <w:r w:rsidRPr="002801F8">
        <w:rPr>
          <w:rFonts w:ascii="Times New Roman" w:hAnsi="Times New Roman" w:cs="Times New Roman"/>
        </w:rPr>
        <w:cr/>
      </w:r>
    </w:p>
    <w:p w:rsidR="00F51E5E" w:rsidRPr="002801F8" w:rsidRDefault="00F51E5E" w:rsidP="00A33F48">
      <w:pPr>
        <w:spacing w:line="240" w:lineRule="auto"/>
        <w:ind w:left="705" w:hanging="705"/>
        <w:jc w:val="both"/>
        <w:rPr>
          <w:rFonts w:ascii="Times New Roman" w:hAnsi="Times New Roman" w:cs="Times New Roman"/>
        </w:rPr>
      </w:pPr>
      <w:r w:rsidRPr="002801F8">
        <w:rPr>
          <w:rFonts w:ascii="Times New Roman" w:hAnsi="Times New Roman" w:cs="Times New Roman"/>
        </w:rPr>
        <w:t>15</w:t>
      </w:r>
      <w:r w:rsidRPr="002801F8">
        <w:rPr>
          <w:rFonts w:ascii="Times New Roman" w:hAnsi="Times New Roman" w:cs="Times New Roman"/>
        </w:rPr>
        <w:tab/>
      </w:r>
      <w:proofErr w:type="spellStart"/>
      <w:r w:rsidRPr="002801F8">
        <w:rPr>
          <w:rFonts w:ascii="Times New Roman" w:hAnsi="Times New Roman" w:cs="Times New Roman"/>
        </w:rPr>
        <w:t>Натыйжалуулукту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баалоо</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максатында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валюталык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тобокелдикке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байланыштуу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инструментинин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наркынын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өзгөрүүсү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башкы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колдонуудагы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валютасына</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колдонулуп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эсептелиши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колдонуудагы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валютасына</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хеджирлөөнү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эсепке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максатында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жол-жоболоштурулган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документацияга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ылайык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хеджирленген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тобокелдик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бааланат</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кайсы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кармалгандыгына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жараша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эсепке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алынышы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жок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болгондуктан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нарктын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жалпы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өзгөрүүсү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пайданын</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зыяндын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курамында</w:t>
      </w:r>
      <w:proofErr w:type="spellEnd"/>
      <w:r w:rsidRPr="002801F8">
        <w:rPr>
          <w:rFonts w:ascii="Times New Roman" w:hAnsi="Times New Roman" w:cs="Times New Roman"/>
        </w:rPr>
        <w:t xml:space="preserve">, башка </w:t>
      </w:r>
      <w:proofErr w:type="spellStart"/>
      <w:r w:rsidRPr="002801F8">
        <w:rPr>
          <w:rFonts w:ascii="Times New Roman" w:hAnsi="Times New Roman" w:cs="Times New Roman"/>
        </w:rPr>
        <w:t>жыйынды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кирешеде</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эки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беренеде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тең</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таанылышы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болмок</w:t>
      </w:r>
      <w:proofErr w:type="spellEnd"/>
      <w:r w:rsidRPr="002801F8">
        <w:rPr>
          <w:rFonts w:ascii="Times New Roman" w:hAnsi="Times New Roman" w:cs="Times New Roman"/>
        </w:rPr>
        <w:t>. Бирок</w:t>
      </w:r>
      <w:r w:rsidR="00EE0404">
        <w:rPr>
          <w:rFonts w:ascii="Times New Roman" w:hAnsi="Times New Roman" w:cs="Times New Roman"/>
          <w:lang w:val="kk-KZ"/>
        </w:rPr>
        <w:t>,</w:t>
      </w:r>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инструментинин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наркынын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өзгөрүүсү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пайданын</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зыяндын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курамында</w:t>
      </w:r>
      <w:proofErr w:type="spellEnd"/>
      <w:r w:rsidRPr="002801F8">
        <w:rPr>
          <w:rFonts w:ascii="Times New Roman" w:hAnsi="Times New Roman" w:cs="Times New Roman"/>
        </w:rPr>
        <w:t xml:space="preserve"> же башка </w:t>
      </w:r>
      <w:proofErr w:type="spellStart"/>
      <w:r w:rsidRPr="002801F8">
        <w:rPr>
          <w:rFonts w:ascii="Times New Roman" w:hAnsi="Times New Roman" w:cs="Times New Roman"/>
        </w:rPr>
        <w:t>жыйынды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кирешеде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таанылгандыгы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натыйжалуулукту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баалоого</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таасир</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этпейт</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эсепке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алынышын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өзгөрүүнүн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бардык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натыйжалуу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бөлүгү</w:t>
      </w:r>
      <w:proofErr w:type="spellEnd"/>
      <w:r w:rsidRPr="002801F8">
        <w:rPr>
          <w:rFonts w:ascii="Times New Roman" w:hAnsi="Times New Roman" w:cs="Times New Roman"/>
        </w:rPr>
        <w:t xml:space="preserve"> башка </w:t>
      </w:r>
      <w:proofErr w:type="spellStart"/>
      <w:r w:rsidRPr="002801F8">
        <w:rPr>
          <w:rFonts w:ascii="Times New Roman" w:hAnsi="Times New Roman" w:cs="Times New Roman"/>
        </w:rPr>
        <w:t>жыйынды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кирешеге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камтылат</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туунду</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туунду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эмес</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болуп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саналгандыгы</w:t>
      </w:r>
      <w:proofErr w:type="spellEnd"/>
      <w:r w:rsidRPr="002801F8">
        <w:rPr>
          <w:rFonts w:ascii="Times New Roman" w:hAnsi="Times New Roman" w:cs="Times New Roman"/>
        </w:rPr>
        <w:t xml:space="preserve"> да, </w:t>
      </w:r>
      <w:proofErr w:type="spellStart"/>
      <w:r w:rsidRPr="002801F8">
        <w:rPr>
          <w:rFonts w:ascii="Times New Roman" w:hAnsi="Times New Roman" w:cs="Times New Roman"/>
        </w:rPr>
        <w:t>консолидациялоо</w:t>
      </w:r>
      <w:proofErr w:type="spellEnd"/>
      <w:r w:rsidRPr="002801F8">
        <w:rPr>
          <w:rFonts w:ascii="Times New Roman" w:hAnsi="Times New Roman" w:cs="Times New Roman"/>
        </w:rPr>
        <w:t xml:space="preserve"> методу да </w:t>
      </w:r>
      <w:proofErr w:type="spellStart"/>
      <w:r w:rsidRPr="002801F8">
        <w:rPr>
          <w:rFonts w:ascii="Times New Roman" w:hAnsi="Times New Roman" w:cs="Times New Roman"/>
        </w:rPr>
        <w:t>натыйжалуулукту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баалоого</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таасир</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этпейт</w:t>
      </w:r>
      <w:proofErr w:type="spellEnd"/>
      <w:r w:rsidRPr="002801F8">
        <w:rPr>
          <w:rFonts w:ascii="Times New Roman" w:hAnsi="Times New Roman" w:cs="Times New Roman"/>
        </w:rPr>
        <w:t>.</w:t>
      </w:r>
    </w:p>
    <w:p w:rsidR="00F51E5E" w:rsidRPr="00EE0404" w:rsidRDefault="00F51E5E" w:rsidP="00A33F48">
      <w:pPr>
        <w:spacing w:line="240" w:lineRule="auto"/>
        <w:jc w:val="both"/>
        <w:rPr>
          <w:rFonts w:ascii="Times New Roman" w:hAnsi="Times New Roman" w:cs="Times New Roman"/>
          <w:b/>
          <w:sz w:val="26"/>
        </w:rPr>
      </w:pPr>
      <w:r w:rsidRPr="002801F8">
        <w:rPr>
          <w:rFonts w:ascii="Times New Roman" w:hAnsi="Times New Roman" w:cs="Times New Roman"/>
        </w:rPr>
        <w:tab/>
      </w:r>
      <w:proofErr w:type="spellStart"/>
      <w:r w:rsidRPr="00EE0404">
        <w:rPr>
          <w:rFonts w:ascii="Times New Roman" w:hAnsi="Times New Roman" w:cs="Times New Roman"/>
          <w:b/>
          <w:sz w:val="26"/>
        </w:rPr>
        <w:t>Хеджирленген</w:t>
      </w:r>
      <w:proofErr w:type="spellEnd"/>
      <w:r w:rsidRPr="00EE0404">
        <w:rPr>
          <w:rFonts w:ascii="Times New Roman" w:hAnsi="Times New Roman" w:cs="Times New Roman"/>
          <w:b/>
          <w:sz w:val="26"/>
        </w:rPr>
        <w:t xml:space="preserve"> чет </w:t>
      </w:r>
      <w:proofErr w:type="spellStart"/>
      <w:r w:rsidRPr="00EE0404">
        <w:rPr>
          <w:rFonts w:ascii="Times New Roman" w:hAnsi="Times New Roman" w:cs="Times New Roman"/>
          <w:b/>
          <w:sz w:val="26"/>
        </w:rPr>
        <w:t>өлкөлүк</w:t>
      </w:r>
      <w:proofErr w:type="spellEnd"/>
      <w:r w:rsidRPr="00EE0404">
        <w:rPr>
          <w:rFonts w:ascii="Times New Roman" w:hAnsi="Times New Roman" w:cs="Times New Roman"/>
          <w:b/>
          <w:sz w:val="26"/>
        </w:rPr>
        <w:t xml:space="preserve"> </w:t>
      </w:r>
      <w:proofErr w:type="spellStart"/>
      <w:r w:rsidRPr="00EE0404">
        <w:rPr>
          <w:rFonts w:ascii="Times New Roman" w:hAnsi="Times New Roman" w:cs="Times New Roman"/>
          <w:b/>
          <w:sz w:val="26"/>
        </w:rPr>
        <w:t>бөлүмдүн</w:t>
      </w:r>
      <w:proofErr w:type="spellEnd"/>
      <w:r w:rsidRPr="00EE0404">
        <w:rPr>
          <w:rFonts w:ascii="Times New Roman" w:hAnsi="Times New Roman" w:cs="Times New Roman"/>
          <w:b/>
          <w:sz w:val="26"/>
        </w:rPr>
        <w:t xml:space="preserve"> </w:t>
      </w:r>
      <w:proofErr w:type="spellStart"/>
      <w:r w:rsidRPr="00EE0404">
        <w:rPr>
          <w:rFonts w:ascii="Times New Roman" w:hAnsi="Times New Roman" w:cs="Times New Roman"/>
          <w:b/>
          <w:sz w:val="26"/>
        </w:rPr>
        <w:t>чыгып</w:t>
      </w:r>
      <w:proofErr w:type="spellEnd"/>
      <w:r w:rsidRPr="00EE0404">
        <w:rPr>
          <w:rFonts w:ascii="Times New Roman" w:hAnsi="Times New Roman" w:cs="Times New Roman"/>
          <w:b/>
          <w:sz w:val="26"/>
        </w:rPr>
        <w:t xml:space="preserve"> </w:t>
      </w:r>
      <w:proofErr w:type="spellStart"/>
      <w:r w:rsidRPr="00EE0404">
        <w:rPr>
          <w:rFonts w:ascii="Times New Roman" w:hAnsi="Times New Roman" w:cs="Times New Roman"/>
          <w:b/>
          <w:sz w:val="26"/>
        </w:rPr>
        <w:t>калышы</w:t>
      </w:r>
      <w:proofErr w:type="spellEnd"/>
      <w:r w:rsidRPr="00EE0404">
        <w:rPr>
          <w:rFonts w:ascii="Times New Roman" w:hAnsi="Times New Roman" w:cs="Times New Roman"/>
          <w:b/>
          <w:sz w:val="26"/>
        </w:rPr>
        <w:t xml:space="preserve"> </w:t>
      </w:r>
    </w:p>
    <w:p w:rsidR="00F51E5E" w:rsidRPr="002801F8" w:rsidRDefault="00F51E5E" w:rsidP="00A33F48">
      <w:pPr>
        <w:spacing w:after="0" w:line="240" w:lineRule="auto"/>
        <w:ind w:left="705" w:hanging="705"/>
        <w:jc w:val="both"/>
        <w:rPr>
          <w:rFonts w:ascii="Times New Roman" w:hAnsi="Times New Roman" w:cs="Times New Roman"/>
        </w:rPr>
      </w:pPr>
      <w:r w:rsidRPr="002801F8">
        <w:rPr>
          <w:rFonts w:ascii="Times New Roman" w:hAnsi="Times New Roman" w:cs="Times New Roman"/>
        </w:rPr>
        <w:t>16</w:t>
      </w:r>
      <w:r w:rsidRPr="002801F8">
        <w:rPr>
          <w:rFonts w:ascii="Times New Roman" w:hAnsi="Times New Roman" w:cs="Times New Roman"/>
        </w:rPr>
        <w:tab/>
      </w:r>
      <w:proofErr w:type="spellStart"/>
      <w:r w:rsidRPr="002801F8">
        <w:rPr>
          <w:rFonts w:ascii="Times New Roman" w:hAnsi="Times New Roman" w:cs="Times New Roman"/>
        </w:rPr>
        <w:t>Хеджирленген</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бөлүм</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чыгып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кеткенде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башкы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бириктирилген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финансылык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отчеттуулугунда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инструментине</w:t>
      </w:r>
      <w:proofErr w:type="spellEnd"/>
      <w:r w:rsidRPr="002801F8">
        <w:rPr>
          <w:rFonts w:ascii="Times New Roman" w:hAnsi="Times New Roman" w:cs="Times New Roman"/>
        </w:rPr>
        <w:t xml:space="preserve"> карата кайра </w:t>
      </w:r>
      <w:proofErr w:type="spellStart"/>
      <w:r w:rsidRPr="002801F8">
        <w:rPr>
          <w:rFonts w:ascii="Times New Roman" w:hAnsi="Times New Roman" w:cs="Times New Roman"/>
        </w:rPr>
        <w:t>классификацияланган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оңдоп-түзөө</w:t>
      </w:r>
      <w:proofErr w:type="spellEnd"/>
      <w:r w:rsidRPr="002801F8">
        <w:rPr>
          <w:rFonts w:ascii="Times New Roman" w:hAnsi="Times New Roman" w:cs="Times New Roman"/>
        </w:rPr>
        <w:t xml:space="preserve"> катары ФОЭС (IFRS) 9дун 6.5.14-пунктуна </w:t>
      </w:r>
      <w:proofErr w:type="spellStart"/>
      <w:r w:rsidRPr="002801F8">
        <w:rPr>
          <w:rFonts w:ascii="Times New Roman" w:hAnsi="Times New Roman" w:cs="Times New Roman"/>
        </w:rPr>
        <w:t>ылайык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аныкталган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сумманы</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валютаны</w:t>
      </w:r>
      <w:proofErr w:type="spellEnd"/>
      <w:r w:rsidRPr="002801F8">
        <w:rPr>
          <w:rFonts w:ascii="Times New Roman" w:hAnsi="Times New Roman" w:cs="Times New Roman"/>
        </w:rPr>
        <w:t xml:space="preserve"> кайра </w:t>
      </w:r>
      <w:proofErr w:type="spellStart"/>
      <w:r w:rsidRPr="002801F8">
        <w:rPr>
          <w:rFonts w:ascii="Times New Roman" w:hAnsi="Times New Roman" w:cs="Times New Roman"/>
        </w:rPr>
        <w:t>эсептөө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резервден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пайданын</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зыяндын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курамына</w:t>
      </w:r>
      <w:proofErr w:type="spellEnd"/>
      <w:r w:rsidRPr="002801F8">
        <w:rPr>
          <w:rFonts w:ascii="Times New Roman" w:hAnsi="Times New Roman" w:cs="Times New Roman"/>
        </w:rPr>
        <w:t xml:space="preserve"> кайра </w:t>
      </w:r>
      <w:proofErr w:type="spellStart"/>
      <w:r w:rsidRPr="002801F8">
        <w:rPr>
          <w:rFonts w:ascii="Times New Roman" w:hAnsi="Times New Roman" w:cs="Times New Roman"/>
        </w:rPr>
        <w:t>классификациялоо</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Белгиленген</w:t>
      </w:r>
      <w:proofErr w:type="spellEnd"/>
      <w:r w:rsidRPr="002801F8">
        <w:rPr>
          <w:rFonts w:ascii="Times New Roman" w:hAnsi="Times New Roman" w:cs="Times New Roman"/>
        </w:rPr>
        <w:t xml:space="preserve"> сумма </w:t>
      </w:r>
      <w:proofErr w:type="spellStart"/>
      <w:r w:rsidRPr="002801F8">
        <w:rPr>
          <w:rFonts w:ascii="Times New Roman" w:hAnsi="Times New Roman" w:cs="Times New Roman"/>
        </w:rPr>
        <w:t>натыйжалуулугу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хеджирлөөдө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белгиленген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болуп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саналган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пайданын</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зыяндын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топтолгон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суммасын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билдирет</w:t>
      </w:r>
      <w:proofErr w:type="spellEnd"/>
      <w:r w:rsidRPr="002801F8">
        <w:rPr>
          <w:rFonts w:ascii="Times New Roman" w:hAnsi="Times New Roman" w:cs="Times New Roman"/>
        </w:rPr>
        <w:t>.</w:t>
      </w:r>
      <w:r w:rsidRPr="002801F8">
        <w:rPr>
          <w:rFonts w:ascii="Times New Roman" w:hAnsi="Times New Roman" w:cs="Times New Roman"/>
        </w:rPr>
        <w:cr/>
      </w:r>
    </w:p>
    <w:p w:rsidR="00F51E5E" w:rsidRPr="002801F8" w:rsidRDefault="00F51E5E" w:rsidP="00A33F48">
      <w:pPr>
        <w:spacing w:line="240" w:lineRule="auto"/>
        <w:ind w:left="705" w:hanging="705"/>
        <w:jc w:val="both"/>
        <w:rPr>
          <w:rFonts w:ascii="Times New Roman" w:hAnsi="Times New Roman" w:cs="Times New Roman"/>
        </w:rPr>
      </w:pPr>
      <w:r w:rsidRPr="002801F8">
        <w:rPr>
          <w:rFonts w:ascii="Times New Roman" w:hAnsi="Times New Roman" w:cs="Times New Roman"/>
        </w:rPr>
        <w:t>17</w:t>
      </w:r>
      <w:r w:rsidRPr="002801F8">
        <w:rPr>
          <w:rFonts w:ascii="Times New Roman" w:hAnsi="Times New Roman" w:cs="Times New Roman"/>
        </w:rPr>
        <w:tab/>
        <w:t xml:space="preserve">ФОЭС (IAS) 21дин 48-пунктуна </w:t>
      </w:r>
      <w:proofErr w:type="spellStart"/>
      <w:proofErr w:type="gramStart"/>
      <w:r w:rsidRPr="002801F8">
        <w:rPr>
          <w:rFonts w:ascii="Times New Roman" w:hAnsi="Times New Roman" w:cs="Times New Roman"/>
        </w:rPr>
        <w:t>ылайык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пайданын</w:t>
      </w:r>
      <w:proofErr w:type="spellEnd"/>
      <w:proofErr w:type="gramEnd"/>
      <w:r w:rsidRPr="002801F8">
        <w:rPr>
          <w:rFonts w:ascii="Times New Roman" w:hAnsi="Times New Roman" w:cs="Times New Roman"/>
        </w:rPr>
        <w:t xml:space="preserve"> же </w:t>
      </w:r>
      <w:proofErr w:type="spellStart"/>
      <w:r w:rsidRPr="002801F8">
        <w:rPr>
          <w:rFonts w:ascii="Times New Roman" w:hAnsi="Times New Roman" w:cs="Times New Roman"/>
        </w:rPr>
        <w:t>зыяндын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курамына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бөлүмдүн</w:t>
      </w:r>
      <w:proofErr w:type="spellEnd"/>
      <w:r w:rsidRPr="002801F8">
        <w:rPr>
          <w:rFonts w:ascii="Times New Roman" w:hAnsi="Times New Roman" w:cs="Times New Roman"/>
        </w:rPr>
        <w:t xml:space="preserve"> таза </w:t>
      </w:r>
      <w:proofErr w:type="spellStart"/>
      <w:r w:rsidRPr="002801F8">
        <w:rPr>
          <w:rFonts w:ascii="Times New Roman" w:hAnsi="Times New Roman" w:cs="Times New Roman"/>
        </w:rPr>
        <w:t>инвестициясына</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башкы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бириктирилген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финансылык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отчеттуулугунда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таанылган</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валютаны</w:t>
      </w:r>
      <w:proofErr w:type="spellEnd"/>
      <w:r w:rsidRPr="002801F8">
        <w:rPr>
          <w:rFonts w:ascii="Times New Roman" w:hAnsi="Times New Roman" w:cs="Times New Roman"/>
        </w:rPr>
        <w:t xml:space="preserve"> кайра </w:t>
      </w:r>
      <w:proofErr w:type="spellStart"/>
      <w:r w:rsidRPr="002801F8">
        <w:rPr>
          <w:rFonts w:ascii="Times New Roman" w:hAnsi="Times New Roman" w:cs="Times New Roman"/>
        </w:rPr>
        <w:t>эсептөө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резервинен</w:t>
      </w:r>
      <w:proofErr w:type="spellEnd"/>
      <w:r w:rsidRPr="002801F8">
        <w:rPr>
          <w:rFonts w:ascii="Times New Roman" w:hAnsi="Times New Roman" w:cs="Times New Roman"/>
        </w:rPr>
        <w:t xml:space="preserve"> </w:t>
      </w:r>
      <w:r w:rsidRPr="002801F8">
        <w:rPr>
          <w:rFonts w:ascii="Times New Roman" w:hAnsi="Times New Roman" w:cs="Times New Roman"/>
        </w:rPr>
        <w:lastRenderedPageBreak/>
        <w:t xml:space="preserve">кайра </w:t>
      </w:r>
      <w:proofErr w:type="spellStart"/>
      <w:r w:rsidRPr="002801F8">
        <w:rPr>
          <w:rFonts w:ascii="Times New Roman" w:hAnsi="Times New Roman" w:cs="Times New Roman"/>
        </w:rPr>
        <w:t>классификацияланган</w:t>
      </w:r>
      <w:proofErr w:type="spellEnd"/>
      <w:r w:rsidRPr="002801F8">
        <w:rPr>
          <w:rFonts w:ascii="Times New Roman" w:hAnsi="Times New Roman" w:cs="Times New Roman"/>
        </w:rPr>
        <w:t xml:space="preserve"> сумма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бөлүмгө</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башкы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ишкананын</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валютасын</w:t>
      </w:r>
      <w:proofErr w:type="spellEnd"/>
      <w:r w:rsidRPr="002801F8">
        <w:rPr>
          <w:rFonts w:ascii="Times New Roman" w:hAnsi="Times New Roman" w:cs="Times New Roman"/>
        </w:rPr>
        <w:t xml:space="preserve"> кайра </w:t>
      </w:r>
      <w:proofErr w:type="spellStart"/>
      <w:r w:rsidRPr="002801F8">
        <w:rPr>
          <w:rFonts w:ascii="Times New Roman" w:hAnsi="Times New Roman" w:cs="Times New Roman"/>
        </w:rPr>
        <w:t>эсептөө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резервине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камтылган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сумманы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билдирет</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Акыркы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башкы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бириктирилген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финансылык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отчеттуулугунда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бардык</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бөлүмдөргө</w:t>
      </w:r>
      <w:proofErr w:type="spellEnd"/>
      <w:r w:rsidRPr="002801F8">
        <w:rPr>
          <w:rFonts w:ascii="Times New Roman" w:hAnsi="Times New Roman" w:cs="Times New Roman"/>
        </w:rPr>
        <w:t xml:space="preserve"> карата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валютаны</w:t>
      </w:r>
      <w:proofErr w:type="spellEnd"/>
      <w:r w:rsidRPr="002801F8">
        <w:rPr>
          <w:rFonts w:ascii="Times New Roman" w:hAnsi="Times New Roman" w:cs="Times New Roman"/>
        </w:rPr>
        <w:t xml:space="preserve"> кайра </w:t>
      </w:r>
      <w:proofErr w:type="spellStart"/>
      <w:r w:rsidRPr="002801F8">
        <w:rPr>
          <w:rFonts w:ascii="Times New Roman" w:hAnsi="Times New Roman" w:cs="Times New Roman"/>
        </w:rPr>
        <w:t>эсептөө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резервде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таанылган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агрегацияланган</w:t>
      </w:r>
      <w:proofErr w:type="spellEnd"/>
      <w:r w:rsidRPr="002801F8">
        <w:rPr>
          <w:rFonts w:ascii="Times New Roman" w:hAnsi="Times New Roman" w:cs="Times New Roman"/>
        </w:rPr>
        <w:t xml:space="preserve"> таза сумма </w:t>
      </w:r>
      <w:proofErr w:type="spellStart"/>
      <w:r w:rsidRPr="002801F8">
        <w:rPr>
          <w:rFonts w:ascii="Times New Roman" w:hAnsi="Times New Roman" w:cs="Times New Roman"/>
        </w:rPr>
        <w:t>консолидациялоо</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методуна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көз</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каранды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эмес</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Акыркы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башкы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тарабынан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колдонулган</w:t>
      </w:r>
      <w:proofErr w:type="spellEnd"/>
      <w:r w:rsidRPr="002801F8">
        <w:rPr>
          <w:rFonts w:ascii="Times New Roman" w:hAnsi="Times New Roman" w:cs="Times New Roman"/>
        </w:rPr>
        <w:t xml:space="preserve">, - </w:t>
      </w:r>
      <w:proofErr w:type="spellStart"/>
      <w:r w:rsidRPr="002801F8">
        <w:rPr>
          <w:rFonts w:ascii="Times New Roman" w:hAnsi="Times New Roman" w:cs="Times New Roman"/>
        </w:rPr>
        <w:t>тикелей</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кадамдык</w:t>
      </w:r>
      <w:proofErr w:type="spellEnd"/>
      <w:r w:rsidR="00EE0404">
        <w:rPr>
          <w:rStyle w:val="a3"/>
        </w:rPr>
        <w:footnoteReference w:id="2"/>
      </w:r>
      <w:r w:rsidRPr="002801F8">
        <w:rPr>
          <w:rFonts w:ascii="Times New Roman" w:hAnsi="Times New Roman" w:cs="Times New Roman"/>
        </w:rPr>
        <w:t xml:space="preserve">  </w:t>
      </w:r>
      <w:proofErr w:type="spellStart"/>
      <w:r w:rsidRPr="002801F8">
        <w:rPr>
          <w:rFonts w:ascii="Times New Roman" w:hAnsi="Times New Roman" w:cs="Times New Roman"/>
        </w:rPr>
        <w:t>консолидациялоо</w:t>
      </w:r>
      <w:proofErr w:type="spellEnd"/>
      <w:r w:rsidRPr="002801F8">
        <w:rPr>
          <w:rFonts w:ascii="Times New Roman" w:hAnsi="Times New Roman" w:cs="Times New Roman"/>
        </w:rPr>
        <w:t xml:space="preserve"> методу </w:t>
      </w:r>
      <w:proofErr w:type="spellStart"/>
      <w:r w:rsidRPr="002801F8">
        <w:rPr>
          <w:rFonts w:ascii="Times New Roman" w:hAnsi="Times New Roman" w:cs="Times New Roman"/>
        </w:rPr>
        <w:t>айрым</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бөлүмдөргө</w:t>
      </w:r>
      <w:proofErr w:type="spellEnd"/>
      <w:r w:rsidRPr="002801F8">
        <w:rPr>
          <w:rFonts w:ascii="Times New Roman" w:hAnsi="Times New Roman" w:cs="Times New Roman"/>
        </w:rPr>
        <w:t xml:space="preserve"> карата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валютаны</w:t>
      </w:r>
      <w:proofErr w:type="spellEnd"/>
      <w:r w:rsidRPr="002801F8">
        <w:rPr>
          <w:rFonts w:ascii="Times New Roman" w:hAnsi="Times New Roman" w:cs="Times New Roman"/>
        </w:rPr>
        <w:t xml:space="preserve"> кайра </w:t>
      </w:r>
      <w:proofErr w:type="spellStart"/>
      <w:r w:rsidRPr="002801F8">
        <w:rPr>
          <w:rFonts w:ascii="Times New Roman" w:hAnsi="Times New Roman" w:cs="Times New Roman"/>
        </w:rPr>
        <w:t>эсептөө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резервине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камтылган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суммага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таасир</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этиши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Консолидациялоонун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кадам</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методун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натыйжалуулугун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баалоо</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үчүн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суммадан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айырмаланган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сумманы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пайданын</w:t>
      </w:r>
      <w:proofErr w:type="spellEnd"/>
      <w:r w:rsidRPr="002801F8">
        <w:rPr>
          <w:rFonts w:ascii="Times New Roman" w:hAnsi="Times New Roman" w:cs="Times New Roman"/>
        </w:rPr>
        <w:t xml:space="preserve"> же </w:t>
      </w:r>
      <w:proofErr w:type="spellStart"/>
      <w:r w:rsidRPr="002801F8">
        <w:rPr>
          <w:rFonts w:ascii="Times New Roman" w:hAnsi="Times New Roman" w:cs="Times New Roman"/>
        </w:rPr>
        <w:t>зыяндын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курамына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которууга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алып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келиши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Бул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айырманы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консолидациялоонун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тикелей</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методун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пайда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болушу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болгон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сумманы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чет </w:t>
      </w:r>
      <w:proofErr w:type="spellStart"/>
      <w:r w:rsidRPr="002801F8">
        <w:rPr>
          <w:rFonts w:ascii="Times New Roman" w:hAnsi="Times New Roman" w:cs="Times New Roman"/>
        </w:rPr>
        <w:t>өлкөлүк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бөлүмгө</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эсептөө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менен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жоюуга</w:t>
      </w:r>
      <w:proofErr w:type="spellEnd"/>
      <w:r w:rsidRPr="002801F8">
        <w:rPr>
          <w:rFonts w:ascii="Times New Roman" w:hAnsi="Times New Roman" w:cs="Times New Roman"/>
        </w:rPr>
        <w:t xml:space="preserve"> болот. ФОЭС (IAS) 21 </w:t>
      </w:r>
      <w:proofErr w:type="spellStart"/>
      <w:r w:rsidRPr="002801F8">
        <w:rPr>
          <w:rFonts w:ascii="Times New Roman" w:hAnsi="Times New Roman" w:cs="Times New Roman"/>
        </w:rPr>
        <w:t>мындай</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оңдоп-түзөөнү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талап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кылбайт</w:t>
      </w:r>
      <w:proofErr w:type="spellEnd"/>
      <w:r w:rsidRPr="002801F8">
        <w:rPr>
          <w:rFonts w:ascii="Times New Roman" w:hAnsi="Times New Roman" w:cs="Times New Roman"/>
        </w:rPr>
        <w:t>. Бирок</w:t>
      </w:r>
      <w:r w:rsidR="00EE0404">
        <w:rPr>
          <w:rFonts w:ascii="Times New Roman" w:hAnsi="Times New Roman" w:cs="Times New Roman"/>
          <w:lang w:val="kk-KZ"/>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мындай</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ыкманы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өзүнүн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эсептик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саясаты</w:t>
      </w:r>
      <w:proofErr w:type="spellEnd"/>
      <w:r w:rsidRPr="002801F8">
        <w:rPr>
          <w:rFonts w:ascii="Times New Roman" w:hAnsi="Times New Roman" w:cs="Times New Roman"/>
        </w:rPr>
        <w:t xml:space="preserve"> катары </w:t>
      </w:r>
      <w:proofErr w:type="spellStart"/>
      <w:r w:rsidRPr="002801F8">
        <w:rPr>
          <w:rFonts w:ascii="Times New Roman" w:hAnsi="Times New Roman" w:cs="Times New Roman"/>
        </w:rPr>
        <w:t>тандап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алышы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бардык</w:t>
      </w:r>
      <w:proofErr w:type="spellEnd"/>
      <w:r w:rsidRPr="002801F8">
        <w:rPr>
          <w:rFonts w:ascii="Times New Roman" w:hAnsi="Times New Roman" w:cs="Times New Roman"/>
        </w:rPr>
        <w:t xml:space="preserve"> таза </w:t>
      </w:r>
      <w:proofErr w:type="spellStart"/>
      <w:r w:rsidRPr="002801F8">
        <w:rPr>
          <w:rFonts w:ascii="Times New Roman" w:hAnsi="Times New Roman" w:cs="Times New Roman"/>
        </w:rPr>
        <w:t>инвестицияларга</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ырааттуу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түрдө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 xml:space="preserve">.   </w:t>
      </w:r>
    </w:p>
    <w:p w:rsidR="00F51E5E" w:rsidRPr="00EE0404" w:rsidRDefault="00F51E5E" w:rsidP="00A33F48">
      <w:pPr>
        <w:pBdr>
          <w:bottom w:val="single" w:sz="4" w:space="1" w:color="auto"/>
        </w:pBdr>
        <w:spacing w:line="240" w:lineRule="auto"/>
        <w:jc w:val="both"/>
        <w:rPr>
          <w:rFonts w:ascii="Times New Roman" w:hAnsi="Times New Roman" w:cs="Times New Roman"/>
          <w:b/>
          <w:sz w:val="26"/>
        </w:rPr>
      </w:pPr>
      <w:proofErr w:type="spellStart"/>
      <w:r w:rsidRPr="00EE0404">
        <w:rPr>
          <w:rFonts w:ascii="Times New Roman" w:hAnsi="Times New Roman" w:cs="Times New Roman"/>
          <w:b/>
          <w:sz w:val="26"/>
        </w:rPr>
        <w:t>Күчүнө</w:t>
      </w:r>
      <w:proofErr w:type="spellEnd"/>
      <w:r w:rsidRPr="00EE0404">
        <w:rPr>
          <w:rFonts w:ascii="Times New Roman" w:hAnsi="Times New Roman" w:cs="Times New Roman"/>
          <w:b/>
          <w:sz w:val="26"/>
        </w:rPr>
        <w:t xml:space="preserve"> </w:t>
      </w:r>
      <w:proofErr w:type="spellStart"/>
      <w:r w:rsidRPr="00EE0404">
        <w:rPr>
          <w:rFonts w:ascii="Times New Roman" w:hAnsi="Times New Roman" w:cs="Times New Roman"/>
          <w:b/>
          <w:sz w:val="26"/>
        </w:rPr>
        <w:t>кирүү</w:t>
      </w:r>
      <w:proofErr w:type="spellEnd"/>
      <w:r w:rsidRPr="00EE0404">
        <w:rPr>
          <w:rFonts w:ascii="Times New Roman" w:hAnsi="Times New Roman" w:cs="Times New Roman"/>
          <w:b/>
          <w:sz w:val="26"/>
        </w:rPr>
        <w:t xml:space="preserve"> </w:t>
      </w:r>
      <w:proofErr w:type="spellStart"/>
      <w:r w:rsidRPr="00EE0404">
        <w:rPr>
          <w:rFonts w:ascii="Times New Roman" w:hAnsi="Times New Roman" w:cs="Times New Roman"/>
          <w:b/>
          <w:sz w:val="26"/>
        </w:rPr>
        <w:t>күнү</w:t>
      </w:r>
      <w:proofErr w:type="spellEnd"/>
    </w:p>
    <w:p w:rsidR="00F51E5E" w:rsidRPr="002801F8" w:rsidRDefault="00F51E5E" w:rsidP="00EE0404">
      <w:pPr>
        <w:spacing w:line="240" w:lineRule="auto"/>
        <w:ind w:left="705" w:hanging="705"/>
        <w:jc w:val="both"/>
        <w:rPr>
          <w:rFonts w:ascii="Times New Roman" w:hAnsi="Times New Roman" w:cs="Times New Roman"/>
        </w:rPr>
      </w:pPr>
      <w:r w:rsidRPr="002801F8">
        <w:rPr>
          <w:rFonts w:ascii="Times New Roman" w:hAnsi="Times New Roman" w:cs="Times New Roman"/>
        </w:rPr>
        <w:t>18</w:t>
      </w:r>
      <w:r w:rsidRPr="002801F8">
        <w:rPr>
          <w:rFonts w:ascii="Times New Roman" w:hAnsi="Times New Roman" w:cs="Times New Roman"/>
        </w:rPr>
        <w:tab/>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00D217C5" w:rsidRPr="002801F8">
        <w:rPr>
          <w:rFonts w:ascii="Times New Roman" w:hAnsi="Times New Roman" w:cs="Times New Roman"/>
        </w:rPr>
        <w:t>түшүндүрмөнү</w:t>
      </w:r>
      <w:proofErr w:type="spellEnd"/>
      <w:r w:rsidR="00D217C5" w:rsidRPr="002801F8">
        <w:rPr>
          <w:rFonts w:ascii="Times New Roman" w:hAnsi="Times New Roman" w:cs="Times New Roman"/>
        </w:rPr>
        <w:t xml:space="preserve"> </w:t>
      </w:r>
      <w:r w:rsidRPr="002801F8">
        <w:rPr>
          <w:rFonts w:ascii="Times New Roman" w:hAnsi="Times New Roman" w:cs="Times New Roman"/>
        </w:rPr>
        <w:t xml:space="preserve">2008-жылдын 1-октябрында же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күндөн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кийин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башталган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жылдык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мезгилдерге</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колдонушу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2009-жылдын </w:t>
      </w:r>
      <w:proofErr w:type="spellStart"/>
      <w:r w:rsidRPr="002801F8">
        <w:rPr>
          <w:rFonts w:ascii="Times New Roman" w:hAnsi="Times New Roman" w:cs="Times New Roman"/>
        </w:rPr>
        <w:t>октябрында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чыгарылган</w:t>
      </w:r>
      <w:proofErr w:type="spellEnd"/>
      <w:r w:rsidRPr="002801F8">
        <w:rPr>
          <w:rFonts w:ascii="Times New Roman" w:hAnsi="Times New Roman" w:cs="Times New Roman"/>
        </w:rPr>
        <w:t xml:space="preserve"> </w:t>
      </w:r>
      <w:r w:rsidRPr="00EE0404">
        <w:rPr>
          <w:rFonts w:ascii="Times New Roman" w:hAnsi="Times New Roman" w:cs="Times New Roman"/>
          <w:i/>
        </w:rPr>
        <w:t>«</w:t>
      </w:r>
      <w:proofErr w:type="spellStart"/>
      <w:r w:rsidRPr="00EE0404">
        <w:rPr>
          <w:rFonts w:ascii="Times New Roman" w:hAnsi="Times New Roman" w:cs="Times New Roman"/>
          <w:i/>
        </w:rPr>
        <w:t>ФОЭСтерди</w:t>
      </w:r>
      <w:proofErr w:type="spellEnd"/>
      <w:r w:rsidRPr="00EE0404">
        <w:rPr>
          <w:rFonts w:ascii="Times New Roman" w:hAnsi="Times New Roman" w:cs="Times New Roman"/>
          <w:i/>
        </w:rPr>
        <w:t xml:space="preserve"> </w:t>
      </w:r>
      <w:proofErr w:type="spellStart"/>
      <w:r w:rsidRPr="00EE0404">
        <w:rPr>
          <w:rFonts w:ascii="Times New Roman" w:hAnsi="Times New Roman" w:cs="Times New Roman"/>
          <w:i/>
        </w:rPr>
        <w:t>жакшыртуу</w:t>
      </w:r>
      <w:proofErr w:type="spellEnd"/>
      <w:r w:rsidRPr="00EE0404">
        <w:rPr>
          <w:rFonts w:ascii="Times New Roman" w:hAnsi="Times New Roman" w:cs="Times New Roman"/>
          <w:i/>
        </w:rPr>
        <w:t>»</w:t>
      </w:r>
      <w:r w:rsidRPr="002801F8">
        <w:rPr>
          <w:rFonts w:ascii="Times New Roman" w:hAnsi="Times New Roman" w:cs="Times New Roman"/>
        </w:rPr>
        <w:t xml:space="preserve"> </w:t>
      </w:r>
      <w:proofErr w:type="spellStart"/>
      <w:r w:rsidRPr="002801F8">
        <w:rPr>
          <w:rFonts w:ascii="Times New Roman" w:hAnsi="Times New Roman" w:cs="Times New Roman"/>
        </w:rPr>
        <w:t>документи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менен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киргизилген</w:t>
      </w:r>
      <w:proofErr w:type="spellEnd"/>
      <w:r w:rsidRPr="002801F8">
        <w:rPr>
          <w:rFonts w:ascii="Times New Roman" w:hAnsi="Times New Roman" w:cs="Times New Roman"/>
        </w:rPr>
        <w:t xml:space="preserve"> 14-пунктка карата </w:t>
      </w:r>
      <w:proofErr w:type="spellStart"/>
      <w:r w:rsidRPr="002801F8">
        <w:rPr>
          <w:rFonts w:ascii="Times New Roman" w:hAnsi="Times New Roman" w:cs="Times New Roman"/>
        </w:rPr>
        <w:t>түзөтүүнү</w:t>
      </w:r>
      <w:proofErr w:type="spellEnd"/>
      <w:r w:rsidRPr="002801F8">
        <w:rPr>
          <w:rFonts w:ascii="Times New Roman" w:hAnsi="Times New Roman" w:cs="Times New Roman"/>
        </w:rPr>
        <w:t xml:space="preserve"> 2009-жылдын 1-июлунда же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күндөн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кийин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башталуучу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жылдык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мезгилдерге</w:t>
      </w:r>
      <w:proofErr w:type="spellEnd"/>
      <w:r w:rsidRPr="002801F8">
        <w:rPr>
          <w:rFonts w:ascii="Times New Roman" w:hAnsi="Times New Roman" w:cs="Times New Roman"/>
        </w:rPr>
        <w:t xml:space="preserve"> карата </w:t>
      </w:r>
      <w:proofErr w:type="spellStart"/>
      <w:r w:rsidRPr="002801F8">
        <w:rPr>
          <w:rFonts w:ascii="Times New Roman" w:hAnsi="Times New Roman" w:cs="Times New Roman"/>
        </w:rPr>
        <w:t>колдонушу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Эки</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учурда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тең</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мөөнөтүнөн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мурда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колдонууга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жол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берилет</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Эгерде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00D217C5" w:rsidRPr="002801F8">
        <w:rPr>
          <w:rFonts w:ascii="Times New Roman" w:hAnsi="Times New Roman" w:cs="Times New Roman"/>
        </w:rPr>
        <w:t>түшүндүрмөнү</w:t>
      </w:r>
      <w:proofErr w:type="spellEnd"/>
      <w:r w:rsidR="00D217C5" w:rsidRPr="002801F8">
        <w:rPr>
          <w:rFonts w:ascii="Times New Roman" w:hAnsi="Times New Roman" w:cs="Times New Roman"/>
        </w:rPr>
        <w:t xml:space="preserve"> </w:t>
      </w:r>
      <w:r w:rsidRPr="002801F8">
        <w:rPr>
          <w:rFonts w:ascii="Times New Roman" w:hAnsi="Times New Roman" w:cs="Times New Roman"/>
        </w:rPr>
        <w:t xml:space="preserve">2008-жылдын 1-октябрында </w:t>
      </w:r>
      <w:proofErr w:type="spellStart"/>
      <w:r w:rsidRPr="002801F8">
        <w:rPr>
          <w:rFonts w:ascii="Times New Roman" w:hAnsi="Times New Roman" w:cs="Times New Roman"/>
        </w:rPr>
        <w:t>башталган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мезгилде</w:t>
      </w:r>
      <w:proofErr w:type="spellEnd"/>
      <w:r w:rsidRPr="002801F8">
        <w:rPr>
          <w:rFonts w:ascii="Times New Roman" w:hAnsi="Times New Roman" w:cs="Times New Roman"/>
        </w:rPr>
        <w:t xml:space="preserve">, же 14-пунктка </w:t>
      </w:r>
      <w:proofErr w:type="spellStart"/>
      <w:r w:rsidRPr="002801F8">
        <w:rPr>
          <w:rFonts w:ascii="Times New Roman" w:hAnsi="Times New Roman" w:cs="Times New Roman"/>
        </w:rPr>
        <w:t>түзөтүүнү</w:t>
      </w:r>
      <w:proofErr w:type="spellEnd"/>
      <w:r w:rsidRPr="002801F8">
        <w:rPr>
          <w:rFonts w:ascii="Times New Roman" w:hAnsi="Times New Roman" w:cs="Times New Roman"/>
        </w:rPr>
        <w:t xml:space="preserve"> 2009-жылдын 1-июлуна </w:t>
      </w:r>
      <w:proofErr w:type="spellStart"/>
      <w:r w:rsidRPr="002801F8">
        <w:rPr>
          <w:rFonts w:ascii="Times New Roman" w:hAnsi="Times New Roman" w:cs="Times New Roman"/>
        </w:rPr>
        <w:t>чейин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колдонсо</w:t>
      </w:r>
      <w:proofErr w:type="spellEnd"/>
      <w:r w:rsidRPr="002801F8">
        <w:rPr>
          <w:rFonts w:ascii="Times New Roman" w:hAnsi="Times New Roman" w:cs="Times New Roman"/>
        </w:rPr>
        <w:t xml:space="preserve">, ал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фактыны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ачып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көрсөтүшү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w:t>
      </w:r>
    </w:p>
    <w:p w:rsidR="00F51E5E" w:rsidRPr="002801F8" w:rsidRDefault="00F51E5E" w:rsidP="002801F8">
      <w:pPr>
        <w:spacing w:line="240" w:lineRule="auto"/>
        <w:jc w:val="both"/>
        <w:rPr>
          <w:rFonts w:ascii="Times New Roman" w:hAnsi="Times New Roman" w:cs="Times New Roman"/>
        </w:rPr>
      </w:pPr>
      <w:r w:rsidRPr="002801F8">
        <w:rPr>
          <w:rFonts w:ascii="Times New Roman" w:hAnsi="Times New Roman" w:cs="Times New Roman"/>
        </w:rPr>
        <w:t>18A</w:t>
      </w:r>
      <w:r w:rsidRPr="002801F8">
        <w:rPr>
          <w:rFonts w:ascii="Times New Roman" w:hAnsi="Times New Roman" w:cs="Times New Roman"/>
        </w:rPr>
        <w:tab/>
        <w:t xml:space="preserve"> [</w:t>
      </w:r>
      <w:proofErr w:type="spellStart"/>
      <w:r w:rsidRPr="002801F8">
        <w:rPr>
          <w:rFonts w:ascii="Times New Roman" w:hAnsi="Times New Roman" w:cs="Times New Roman"/>
        </w:rPr>
        <w:t>Алып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салынган</w:t>
      </w:r>
      <w:proofErr w:type="spellEnd"/>
      <w:r w:rsidRPr="002801F8">
        <w:rPr>
          <w:rFonts w:ascii="Times New Roman" w:hAnsi="Times New Roman" w:cs="Times New Roman"/>
        </w:rPr>
        <w:t xml:space="preserve">] </w:t>
      </w:r>
    </w:p>
    <w:p w:rsidR="00F51E5E" w:rsidRPr="002801F8" w:rsidRDefault="00F51E5E" w:rsidP="00EE0404">
      <w:pPr>
        <w:spacing w:line="240" w:lineRule="auto"/>
        <w:ind w:left="705" w:hanging="705"/>
        <w:jc w:val="both"/>
        <w:rPr>
          <w:rFonts w:ascii="Times New Roman" w:hAnsi="Times New Roman" w:cs="Times New Roman"/>
        </w:rPr>
      </w:pPr>
      <w:r w:rsidRPr="002801F8">
        <w:rPr>
          <w:rFonts w:ascii="Times New Roman" w:hAnsi="Times New Roman" w:cs="Times New Roman"/>
        </w:rPr>
        <w:t>18B</w:t>
      </w:r>
      <w:r w:rsidRPr="002801F8">
        <w:rPr>
          <w:rFonts w:ascii="Times New Roman" w:hAnsi="Times New Roman" w:cs="Times New Roman"/>
        </w:rPr>
        <w:tab/>
        <w:t xml:space="preserve">2014-жылдын </w:t>
      </w:r>
      <w:proofErr w:type="spellStart"/>
      <w:r w:rsidRPr="002801F8">
        <w:rPr>
          <w:rFonts w:ascii="Times New Roman" w:hAnsi="Times New Roman" w:cs="Times New Roman"/>
        </w:rPr>
        <w:t>июлунда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чыгарылган</w:t>
      </w:r>
      <w:proofErr w:type="spellEnd"/>
      <w:r w:rsidRPr="002801F8">
        <w:rPr>
          <w:rFonts w:ascii="Times New Roman" w:hAnsi="Times New Roman" w:cs="Times New Roman"/>
        </w:rPr>
        <w:t xml:space="preserve"> ФОЭС (IFRS) 9 </w:t>
      </w:r>
      <w:proofErr w:type="spellStart"/>
      <w:r w:rsidRPr="002801F8">
        <w:rPr>
          <w:rFonts w:ascii="Times New Roman" w:hAnsi="Times New Roman" w:cs="Times New Roman"/>
        </w:rPr>
        <w:t>тарабынан</w:t>
      </w:r>
      <w:proofErr w:type="spellEnd"/>
      <w:r w:rsidRPr="002801F8">
        <w:rPr>
          <w:rFonts w:ascii="Times New Roman" w:hAnsi="Times New Roman" w:cs="Times New Roman"/>
        </w:rPr>
        <w:t xml:space="preserve"> 3, 5-7, 14, 16, AG1 </w:t>
      </w:r>
      <w:proofErr w:type="spellStart"/>
      <w:r w:rsidRPr="002801F8">
        <w:rPr>
          <w:rFonts w:ascii="Times New Roman" w:hAnsi="Times New Roman" w:cs="Times New Roman"/>
        </w:rPr>
        <w:t>жана</w:t>
      </w:r>
      <w:proofErr w:type="spellEnd"/>
      <w:r w:rsidRPr="002801F8">
        <w:rPr>
          <w:rFonts w:ascii="Times New Roman" w:hAnsi="Times New Roman" w:cs="Times New Roman"/>
        </w:rPr>
        <w:t xml:space="preserve"> AG8-пункттары </w:t>
      </w:r>
      <w:proofErr w:type="spellStart"/>
      <w:r w:rsidRPr="002801F8">
        <w:rPr>
          <w:rFonts w:ascii="Times New Roman" w:hAnsi="Times New Roman" w:cs="Times New Roman"/>
        </w:rPr>
        <w:t>киргизилген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жана</w:t>
      </w:r>
      <w:proofErr w:type="spellEnd"/>
      <w:r w:rsidRPr="002801F8">
        <w:rPr>
          <w:rFonts w:ascii="Times New Roman" w:hAnsi="Times New Roman" w:cs="Times New Roman"/>
        </w:rPr>
        <w:t xml:space="preserve"> 18А-пункту </w:t>
      </w:r>
      <w:proofErr w:type="spellStart"/>
      <w:r w:rsidRPr="002801F8">
        <w:rPr>
          <w:rFonts w:ascii="Times New Roman" w:hAnsi="Times New Roman" w:cs="Times New Roman"/>
        </w:rPr>
        <w:t>алып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салынган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белгиленген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түзөтүүлөрдү</w:t>
      </w:r>
      <w:proofErr w:type="spellEnd"/>
      <w:r w:rsidRPr="002801F8">
        <w:rPr>
          <w:rFonts w:ascii="Times New Roman" w:hAnsi="Times New Roman" w:cs="Times New Roman"/>
        </w:rPr>
        <w:t xml:space="preserve"> ФОЭС (IFRS) 9ду </w:t>
      </w:r>
      <w:proofErr w:type="spellStart"/>
      <w:r w:rsidRPr="002801F8">
        <w:rPr>
          <w:rFonts w:ascii="Times New Roman" w:hAnsi="Times New Roman" w:cs="Times New Roman"/>
        </w:rPr>
        <w:t>колдонуу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менен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бир</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убакта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колдонушу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 xml:space="preserve">. </w:t>
      </w:r>
      <w:r w:rsidRPr="002801F8">
        <w:rPr>
          <w:rFonts w:ascii="Times New Roman" w:hAnsi="Times New Roman" w:cs="Times New Roman"/>
        </w:rPr>
        <w:cr/>
      </w:r>
    </w:p>
    <w:p w:rsidR="00F51E5E" w:rsidRPr="00EE0404" w:rsidRDefault="00F51E5E" w:rsidP="00EE0404">
      <w:pPr>
        <w:pBdr>
          <w:bottom w:val="single" w:sz="4" w:space="1" w:color="auto"/>
        </w:pBdr>
        <w:spacing w:line="240" w:lineRule="auto"/>
        <w:jc w:val="both"/>
        <w:rPr>
          <w:rFonts w:ascii="Times New Roman" w:hAnsi="Times New Roman" w:cs="Times New Roman"/>
          <w:b/>
          <w:sz w:val="26"/>
        </w:rPr>
      </w:pPr>
      <w:proofErr w:type="spellStart"/>
      <w:r w:rsidRPr="00EE0404">
        <w:rPr>
          <w:rFonts w:ascii="Times New Roman" w:hAnsi="Times New Roman" w:cs="Times New Roman"/>
          <w:b/>
          <w:sz w:val="26"/>
        </w:rPr>
        <w:t>Өткөөл</w:t>
      </w:r>
      <w:proofErr w:type="spellEnd"/>
      <w:r w:rsidRPr="00EE0404">
        <w:rPr>
          <w:rFonts w:ascii="Times New Roman" w:hAnsi="Times New Roman" w:cs="Times New Roman"/>
          <w:b/>
          <w:sz w:val="26"/>
        </w:rPr>
        <w:t xml:space="preserve"> </w:t>
      </w:r>
      <w:proofErr w:type="spellStart"/>
      <w:r w:rsidRPr="00EE0404">
        <w:rPr>
          <w:rFonts w:ascii="Times New Roman" w:hAnsi="Times New Roman" w:cs="Times New Roman"/>
          <w:b/>
          <w:sz w:val="26"/>
        </w:rPr>
        <w:t>жоболор</w:t>
      </w:r>
      <w:proofErr w:type="spellEnd"/>
      <w:r w:rsidRPr="00EE0404">
        <w:rPr>
          <w:rFonts w:ascii="Times New Roman" w:hAnsi="Times New Roman" w:cs="Times New Roman"/>
          <w:b/>
          <w:sz w:val="26"/>
        </w:rPr>
        <w:t xml:space="preserve"> </w:t>
      </w:r>
    </w:p>
    <w:p w:rsidR="00F51E5E" w:rsidRPr="002801F8" w:rsidRDefault="00F51E5E" w:rsidP="00EE0404">
      <w:pPr>
        <w:spacing w:line="240" w:lineRule="auto"/>
        <w:ind w:left="705" w:hanging="705"/>
        <w:jc w:val="both"/>
        <w:rPr>
          <w:rFonts w:ascii="Times New Roman" w:hAnsi="Times New Roman" w:cs="Times New Roman"/>
        </w:rPr>
      </w:pPr>
      <w:r w:rsidRPr="002801F8">
        <w:rPr>
          <w:rFonts w:ascii="Times New Roman" w:hAnsi="Times New Roman" w:cs="Times New Roman"/>
        </w:rPr>
        <w:t>19</w:t>
      </w:r>
      <w:r w:rsidRPr="002801F8">
        <w:rPr>
          <w:rFonts w:ascii="Times New Roman" w:hAnsi="Times New Roman" w:cs="Times New Roman"/>
        </w:rPr>
        <w:tab/>
        <w:t xml:space="preserve">ФОЭС (IAS) 8 </w:t>
      </w:r>
      <w:proofErr w:type="spellStart"/>
      <w:r w:rsidR="00D217C5" w:rsidRPr="002801F8">
        <w:rPr>
          <w:rFonts w:ascii="Times New Roman" w:hAnsi="Times New Roman" w:cs="Times New Roman"/>
        </w:rPr>
        <w:t>түшүндүрмөнү</w:t>
      </w:r>
      <w:proofErr w:type="spellEnd"/>
      <w:r w:rsidR="00D217C5" w:rsidRPr="002801F8">
        <w:rPr>
          <w:rFonts w:ascii="Times New Roman" w:hAnsi="Times New Roman" w:cs="Times New Roman"/>
        </w:rPr>
        <w:t xml:space="preserve"> </w:t>
      </w:r>
      <w:proofErr w:type="spellStart"/>
      <w:r w:rsidRPr="002801F8">
        <w:rPr>
          <w:rFonts w:ascii="Times New Roman" w:hAnsi="Times New Roman" w:cs="Times New Roman"/>
        </w:rPr>
        <w:t>алгачкы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колдонуунун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натыйжасында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саясатындагы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өзгөртүүлөрдү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колдонуу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талаптарды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камтыйт</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000E6173" w:rsidRPr="002801F8">
        <w:rPr>
          <w:rFonts w:ascii="Times New Roman" w:hAnsi="Times New Roman" w:cs="Times New Roman"/>
        </w:rPr>
        <w:t>түшүндүрмөнү</w:t>
      </w:r>
      <w:proofErr w:type="spellEnd"/>
      <w:r w:rsidR="000E6173" w:rsidRPr="002801F8">
        <w:rPr>
          <w:rFonts w:ascii="Times New Roman" w:hAnsi="Times New Roman" w:cs="Times New Roman"/>
        </w:rPr>
        <w:t xml:space="preserve"> </w:t>
      </w:r>
      <w:proofErr w:type="spellStart"/>
      <w:r w:rsidR="00D217C5">
        <w:rPr>
          <w:rFonts w:ascii="Times New Roman" w:hAnsi="Times New Roman" w:cs="Times New Roman"/>
        </w:rPr>
        <w:t>алгачкы</w:t>
      </w:r>
      <w:proofErr w:type="spellEnd"/>
      <w:r w:rsidR="00D217C5">
        <w:rPr>
          <w:rFonts w:ascii="Times New Roman" w:hAnsi="Times New Roman" w:cs="Times New Roman"/>
        </w:rPr>
        <w:t xml:space="preserve"> </w:t>
      </w:r>
      <w:proofErr w:type="spellStart"/>
      <w:r w:rsidRPr="002801F8">
        <w:rPr>
          <w:rFonts w:ascii="Times New Roman" w:hAnsi="Times New Roman" w:cs="Times New Roman"/>
        </w:rPr>
        <w:t>колдонууда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талаптарды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аткарууга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милдеттүү</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эмес</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Эгерде</w:t>
      </w:r>
      <w:proofErr w:type="spellEnd"/>
      <w:r w:rsidRPr="002801F8">
        <w:rPr>
          <w:rFonts w:ascii="Times New Roman" w:hAnsi="Times New Roman" w:cs="Times New Roman"/>
        </w:rPr>
        <w:t xml:space="preserve"> таза </w:t>
      </w:r>
      <w:proofErr w:type="spellStart"/>
      <w:r w:rsidRPr="002801F8">
        <w:rPr>
          <w:rFonts w:ascii="Times New Roman" w:hAnsi="Times New Roman" w:cs="Times New Roman"/>
        </w:rPr>
        <w:t>инвестицияларды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хеджирлөөдө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инструментин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өз</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каалоосу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боюнча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аныктап</w:t>
      </w:r>
      <w:proofErr w:type="spellEnd"/>
      <w:r w:rsidRPr="002801F8">
        <w:rPr>
          <w:rFonts w:ascii="Times New Roman" w:hAnsi="Times New Roman" w:cs="Times New Roman"/>
        </w:rPr>
        <w:t xml:space="preserve">, бирок </w:t>
      </w:r>
      <w:proofErr w:type="spellStart"/>
      <w:r w:rsidRPr="002801F8">
        <w:rPr>
          <w:rFonts w:ascii="Times New Roman" w:hAnsi="Times New Roman" w:cs="Times New Roman"/>
        </w:rPr>
        <w:t>ошол</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ушул</w:t>
      </w:r>
      <w:proofErr w:type="spellEnd"/>
      <w:r w:rsidRPr="002801F8">
        <w:rPr>
          <w:rFonts w:ascii="Times New Roman" w:hAnsi="Times New Roman" w:cs="Times New Roman"/>
        </w:rPr>
        <w:t xml:space="preserve"> </w:t>
      </w:r>
      <w:proofErr w:type="spellStart"/>
      <w:r w:rsidR="000E6173" w:rsidRPr="002801F8">
        <w:rPr>
          <w:rFonts w:ascii="Times New Roman" w:hAnsi="Times New Roman" w:cs="Times New Roman"/>
        </w:rPr>
        <w:t>түшүндүрмөгө</w:t>
      </w:r>
      <w:proofErr w:type="spellEnd"/>
      <w:r w:rsidR="000E6173" w:rsidRPr="002801F8">
        <w:rPr>
          <w:rFonts w:ascii="Times New Roman" w:hAnsi="Times New Roman" w:cs="Times New Roman"/>
        </w:rPr>
        <w:t xml:space="preserve"> </w:t>
      </w:r>
      <w:proofErr w:type="spellStart"/>
      <w:r w:rsidRPr="002801F8">
        <w:rPr>
          <w:rFonts w:ascii="Times New Roman" w:hAnsi="Times New Roman" w:cs="Times New Roman"/>
        </w:rPr>
        <w:t>ылайык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эсепке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алынышы</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мүмкүн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болгон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шарттарга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ылайык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келбесе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ишкана</w:t>
      </w:r>
      <w:proofErr w:type="spellEnd"/>
      <w:r w:rsidRPr="002801F8">
        <w:rPr>
          <w:rFonts w:ascii="Times New Roman" w:hAnsi="Times New Roman" w:cs="Times New Roman"/>
        </w:rPr>
        <w:t xml:space="preserve"> ФОЭС (IAS) 39дун </w:t>
      </w:r>
      <w:proofErr w:type="spellStart"/>
      <w:r w:rsidRPr="002801F8">
        <w:rPr>
          <w:rFonts w:ascii="Times New Roman" w:hAnsi="Times New Roman" w:cs="Times New Roman"/>
        </w:rPr>
        <w:t>талаптарына</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ылайык</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хеджирлөөнүн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эсепке</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алынышын</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алдын</w:t>
      </w:r>
      <w:proofErr w:type="spellEnd"/>
      <w:r w:rsidRPr="002801F8">
        <w:rPr>
          <w:rFonts w:ascii="Times New Roman" w:hAnsi="Times New Roman" w:cs="Times New Roman"/>
        </w:rPr>
        <w:t xml:space="preserve"> ала </w:t>
      </w:r>
      <w:proofErr w:type="spellStart"/>
      <w:r w:rsidRPr="002801F8">
        <w:rPr>
          <w:rFonts w:ascii="Times New Roman" w:hAnsi="Times New Roman" w:cs="Times New Roman"/>
        </w:rPr>
        <w:t>токтотушу</w:t>
      </w:r>
      <w:proofErr w:type="spellEnd"/>
      <w:r w:rsidRPr="002801F8">
        <w:rPr>
          <w:rFonts w:ascii="Times New Roman" w:hAnsi="Times New Roman" w:cs="Times New Roman"/>
        </w:rPr>
        <w:t xml:space="preserve"> </w:t>
      </w:r>
      <w:proofErr w:type="spellStart"/>
      <w:r w:rsidRPr="002801F8">
        <w:rPr>
          <w:rFonts w:ascii="Times New Roman" w:hAnsi="Times New Roman" w:cs="Times New Roman"/>
        </w:rPr>
        <w:t>керек</w:t>
      </w:r>
      <w:proofErr w:type="spellEnd"/>
      <w:r w:rsidRPr="002801F8">
        <w:rPr>
          <w:rFonts w:ascii="Times New Roman" w:hAnsi="Times New Roman" w:cs="Times New Roman"/>
        </w:rPr>
        <w:t>.</w:t>
      </w:r>
    </w:p>
    <w:p w:rsidR="00F51E5E" w:rsidRPr="002801F8" w:rsidRDefault="00F51E5E" w:rsidP="002801F8">
      <w:pPr>
        <w:spacing w:line="240" w:lineRule="auto"/>
        <w:jc w:val="both"/>
        <w:rPr>
          <w:rFonts w:ascii="Times New Roman" w:hAnsi="Times New Roman" w:cs="Times New Roman"/>
        </w:rPr>
      </w:pPr>
      <w:r w:rsidRPr="002801F8">
        <w:rPr>
          <w:rFonts w:ascii="Times New Roman" w:hAnsi="Times New Roman" w:cs="Times New Roman"/>
        </w:rPr>
        <w:t xml:space="preserve"> </w:t>
      </w:r>
      <w:r w:rsidRPr="002801F8">
        <w:rPr>
          <w:rFonts w:ascii="Times New Roman" w:hAnsi="Times New Roman" w:cs="Times New Roman"/>
        </w:rPr>
        <w:tab/>
        <w:t xml:space="preserve"> </w:t>
      </w:r>
    </w:p>
    <w:p w:rsidR="00EE0404" w:rsidRDefault="00F51E5E" w:rsidP="002801F8">
      <w:pPr>
        <w:spacing w:line="240" w:lineRule="auto"/>
        <w:jc w:val="both"/>
        <w:rPr>
          <w:rFonts w:ascii="Times New Roman" w:hAnsi="Times New Roman" w:cs="Times New Roman"/>
          <w:lang w:val="kk-KZ"/>
        </w:rPr>
      </w:pPr>
      <w:r w:rsidRPr="002801F8">
        <w:rPr>
          <w:rFonts w:ascii="Times New Roman" w:hAnsi="Times New Roman" w:cs="Times New Roman"/>
        </w:rPr>
        <w:t xml:space="preserve"> </w:t>
      </w:r>
      <w:r w:rsidRPr="002801F8">
        <w:rPr>
          <w:rFonts w:ascii="Times New Roman" w:hAnsi="Times New Roman" w:cs="Times New Roman"/>
        </w:rPr>
        <w:tab/>
      </w:r>
    </w:p>
    <w:p w:rsidR="00EE0404" w:rsidRDefault="00EE0404" w:rsidP="002801F8">
      <w:pPr>
        <w:spacing w:line="240" w:lineRule="auto"/>
        <w:jc w:val="both"/>
        <w:rPr>
          <w:rFonts w:ascii="Times New Roman" w:hAnsi="Times New Roman" w:cs="Times New Roman"/>
          <w:lang w:val="kk-KZ"/>
        </w:rPr>
      </w:pPr>
    </w:p>
    <w:p w:rsidR="00EE0404" w:rsidRDefault="00EE0404" w:rsidP="002801F8">
      <w:pPr>
        <w:spacing w:line="240" w:lineRule="auto"/>
        <w:jc w:val="both"/>
        <w:rPr>
          <w:rFonts w:ascii="Times New Roman" w:hAnsi="Times New Roman" w:cs="Times New Roman"/>
          <w:lang w:val="kk-KZ"/>
        </w:rPr>
      </w:pPr>
    </w:p>
    <w:p w:rsidR="00EE0404" w:rsidRDefault="00EE0404" w:rsidP="002801F8">
      <w:pPr>
        <w:spacing w:line="240" w:lineRule="auto"/>
        <w:jc w:val="both"/>
        <w:rPr>
          <w:rFonts w:ascii="Times New Roman" w:hAnsi="Times New Roman" w:cs="Times New Roman"/>
          <w:lang w:val="kk-KZ"/>
        </w:rPr>
      </w:pPr>
    </w:p>
    <w:p w:rsidR="00F51E5E" w:rsidRPr="000E6173" w:rsidRDefault="00F51E5E" w:rsidP="000E6173">
      <w:pPr>
        <w:spacing w:after="0" w:line="240" w:lineRule="auto"/>
        <w:jc w:val="both"/>
        <w:rPr>
          <w:rFonts w:ascii="Times New Roman" w:hAnsi="Times New Roman" w:cs="Times New Roman"/>
          <w:b/>
          <w:sz w:val="26"/>
          <w:lang w:val="kk-KZ"/>
        </w:rPr>
      </w:pPr>
      <w:r w:rsidRPr="000E6173">
        <w:rPr>
          <w:rFonts w:ascii="Times New Roman" w:hAnsi="Times New Roman" w:cs="Times New Roman"/>
          <w:b/>
          <w:sz w:val="26"/>
          <w:lang w:val="kk-KZ"/>
        </w:rPr>
        <w:lastRenderedPageBreak/>
        <w:t xml:space="preserve">Тиркеме </w:t>
      </w:r>
    </w:p>
    <w:p w:rsidR="00F51E5E" w:rsidRPr="000E6173" w:rsidRDefault="00F51E5E" w:rsidP="000E6173">
      <w:pPr>
        <w:spacing w:after="0" w:line="240" w:lineRule="auto"/>
        <w:jc w:val="both"/>
        <w:rPr>
          <w:rFonts w:ascii="Times New Roman" w:hAnsi="Times New Roman" w:cs="Times New Roman"/>
          <w:b/>
          <w:sz w:val="26"/>
          <w:lang w:val="kk-KZ"/>
        </w:rPr>
      </w:pPr>
      <w:r w:rsidRPr="000E6173">
        <w:rPr>
          <w:rFonts w:ascii="Times New Roman" w:hAnsi="Times New Roman" w:cs="Times New Roman"/>
          <w:b/>
          <w:sz w:val="26"/>
          <w:lang w:val="kk-KZ"/>
        </w:rPr>
        <w:t>Пайдалануу боюнча колдонмо</w:t>
      </w:r>
    </w:p>
    <w:p w:rsidR="00F51E5E" w:rsidRPr="00EE0404" w:rsidRDefault="00F51E5E" w:rsidP="002801F8">
      <w:pPr>
        <w:spacing w:line="240" w:lineRule="auto"/>
        <w:jc w:val="both"/>
        <w:rPr>
          <w:rFonts w:ascii="Times New Roman" w:hAnsi="Times New Roman" w:cs="Times New Roman"/>
          <w:i/>
          <w:lang w:val="kk-KZ"/>
        </w:rPr>
      </w:pPr>
      <w:r w:rsidRPr="00EE0404">
        <w:rPr>
          <w:rFonts w:ascii="Times New Roman" w:hAnsi="Times New Roman" w:cs="Times New Roman"/>
          <w:lang w:val="kk-KZ"/>
        </w:rPr>
        <w:t xml:space="preserve"> </w:t>
      </w:r>
      <w:r w:rsidRPr="00EE0404">
        <w:rPr>
          <w:rFonts w:ascii="Times New Roman" w:hAnsi="Times New Roman" w:cs="Times New Roman"/>
          <w:i/>
          <w:lang w:val="kk-KZ"/>
        </w:rPr>
        <w:tab/>
        <w:t xml:space="preserve"> </w:t>
      </w:r>
    </w:p>
    <w:p w:rsidR="00F51E5E" w:rsidRPr="00EE0404" w:rsidRDefault="00F51E5E" w:rsidP="002801F8">
      <w:pPr>
        <w:spacing w:line="240" w:lineRule="auto"/>
        <w:jc w:val="both"/>
        <w:rPr>
          <w:rFonts w:ascii="Times New Roman" w:hAnsi="Times New Roman" w:cs="Times New Roman"/>
          <w:i/>
          <w:lang w:val="kk-KZ"/>
        </w:rPr>
      </w:pPr>
      <w:r w:rsidRPr="00EE0404">
        <w:rPr>
          <w:rFonts w:ascii="Times New Roman" w:hAnsi="Times New Roman" w:cs="Times New Roman"/>
          <w:i/>
          <w:lang w:val="kk-KZ"/>
        </w:rPr>
        <w:t xml:space="preserve">Бул тиркеме ушул </w:t>
      </w:r>
      <w:r w:rsidR="002F55DA" w:rsidRPr="00EE0404">
        <w:rPr>
          <w:rFonts w:ascii="Times New Roman" w:hAnsi="Times New Roman" w:cs="Times New Roman"/>
          <w:i/>
          <w:lang w:val="kk-KZ"/>
        </w:rPr>
        <w:t xml:space="preserve">түшүндүрмөнүн </w:t>
      </w:r>
      <w:r w:rsidRPr="00EE0404">
        <w:rPr>
          <w:rFonts w:ascii="Times New Roman" w:hAnsi="Times New Roman" w:cs="Times New Roman"/>
          <w:i/>
          <w:lang w:val="kk-KZ"/>
        </w:rPr>
        <w:t>ажырагыс бөлүгү болуп саналат.</w:t>
      </w:r>
    </w:p>
    <w:p w:rsidR="00F51E5E" w:rsidRPr="00A33F48" w:rsidRDefault="00F51E5E" w:rsidP="00EE0404">
      <w:pPr>
        <w:spacing w:after="0" w:line="240" w:lineRule="auto"/>
        <w:ind w:left="705" w:hanging="705"/>
        <w:jc w:val="both"/>
        <w:rPr>
          <w:rFonts w:ascii="Times New Roman" w:hAnsi="Times New Roman" w:cs="Times New Roman"/>
          <w:lang w:val="kk-KZ"/>
        </w:rPr>
      </w:pPr>
      <w:r w:rsidRPr="00EE0404">
        <w:rPr>
          <w:rFonts w:ascii="Times New Roman" w:hAnsi="Times New Roman" w:cs="Times New Roman"/>
          <w:lang w:val="kk-KZ"/>
        </w:rPr>
        <w:t>AG1</w:t>
      </w:r>
      <w:r w:rsidRPr="00EE0404">
        <w:rPr>
          <w:rFonts w:ascii="Times New Roman" w:hAnsi="Times New Roman" w:cs="Times New Roman"/>
          <w:lang w:val="kk-KZ"/>
        </w:rPr>
        <w:tab/>
        <w:t xml:space="preserve">Ушул тиркеме төмөндө сыпатталган корпоративдик түзүмдүн мисалында </w:t>
      </w:r>
      <w:r w:rsidR="002F55DA">
        <w:rPr>
          <w:rFonts w:ascii="Times New Roman" w:hAnsi="Times New Roman" w:cs="Times New Roman"/>
          <w:lang w:val="kk-KZ"/>
        </w:rPr>
        <w:t>т</w:t>
      </w:r>
      <w:r w:rsidRPr="00EE0404">
        <w:rPr>
          <w:rFonts w:ascii="Times New Roman" w:hAnsi="Times New Roman" w:cs="Times New Roman"/>
          <w:lang w:val="kk-KZ"/>
        </w:rPr>
        <w:t xml:space="preserve">үшүндүрмөнүн колдонулушун көрсөтөт. </w:t>
      </w:r>
      <w:r w:rsidRPr="00A33F48">
        <w:rPr>
          <w:rFonts w:ascii="Times New Roman" w:hAnsi="Times New Roman" w:cs="Times New Roman"/>
          <w:lang w:val="kk-KZ"/>
        </w:rPr>
        <w:t>Бардык учурларда хеджирлөөнүн бардык сыпатталган мамилелери ФОЭС (IFRS) 9га ылайык натыйжалуулуктун предметине тестирлениши керек, бирок ушул тиркемеде белгиленген тестирлөө талкууланбайт. Акыркы башкы ишкана болуп саналган башкы ишкана өзүнүн бириктирилген финансылык отчеттуулугун өзүнүн колдонуудагы валютасы – евро (EUR) менен  берет. Бардык туунду ишканалар анын толук менчигинде болот. Башкы ишкананын В туунду ишканасына (анын колдонуудагы валютасы фунт стерлинг (GBP) болуп саналат) 500 миллион фунт стерлинг өлчөмүндөгү таза инвестициясы В туунду ишканасынын С туунду ишканасына (анын колдонуудагы валютасы болуп АКШ доллары (USD) саналат) 300 миллион долларга эквиваленттүү 159 миллион фунт стерлинг өлчөмүндөгү таза активдерди камтыйт. Башкача айтканда, В туунду ишканасынын таза активдери, С туунду ишканасына салынган анын инвестицияларынан тышкары, 341 миллион фунт стерлингди түзөт.</w:t>
      </w:r>
      <w:r w:rsidRPr="00A33F48">
        <w:rPr>
          <w:rFonts w:ascii="Times New Roman" w:hAnsi="Times New Roman" w:cs="Times New Roman"/>
          <w:lang w:val="kk-KZ"/>
        </w:rPr>
        <w:cr/>
      </w:r>
    </w:p>
    <w:p w:rsidR="00F51E5E" w:rsidRPr="00A33F48" w:rsidRDefault="00F51E5E" w:rsidP="00EE0404">
      <w:pPr>
        <w:spacing w:line="240" w:lineRule="auto"/>
        <w:ind w:left="705"/>
        <w:jc w:val="both"/>
        <w:rPr>
          <w:rFonts w:ascii="Times New Roman" w:hAnsi="Times New Roman" w:cs="Times New Roman"/>
          <w:b/>
          <w:sz w:val="26"/>
          <w:lang w:val="kk-KZ"/>
        </w:rPr>
      </w:pPr>
      <w:r w:rsidRPr="00A33F48">
        <w:rPr>
          <w:rFonts w:ascii="Times New Roman" w:hAnsi="Times New Roman" w:cs="Times New Roman"/>
          <w:b/>
          <w:sz w:val="26"/>
          <w:lang w:val="kk-KZ"/>
        </w:rPr>
        <w:t xml:space="preserve">Ишкана хеджирлөө мамилелерин өз каалоосу боюнча аныктай алган хеджирлөө тобокелдигинин мүнөзү (10-13-пункттар) </w:t>
      </w:r>
    </w:p>
    <w:p w:rsidR="00F51E5E" w:rsidRPr="00544862" w:rsidRDefault="00F51E5E" w:rsidP="00EE0404">
      <w:pPr>
        <w:spacing w:line="240" w:lineRule="auto"/>
        <w:ind w:left="705" w:hanging="705"/>
        <w:jc w:val="both"/>
        <w:rPr>
          <w:rFonts w:ascii="Times New Roman" w:hAnsi="Times New Roman" w:cs="Times New Roman"/>
          <w:lang w:val="kk-KZ"/>
        </w:rPr>
      </w:pPr>
      <w:r w:rsidRPr="00544862">
        <w:rPr>
          <w:rFonts w:ascii="Times New Roman" w:hAnsi="Times New Roman" w:cs="Times New Roman"/>
          <w:lang w:val="kk-KZ"/>
        </w:rPr>
        <w:t>AG2</w:t>
      </w:r>
      <w:r w:rsidRPr="00544862">
        <w:rPr>
          <w:rFonts w:ascii="Times New Roman" w:hAnsi="Times New Roman" w:cs="Times New Roman"/>
          <w:lang w:val="kk-KZ"/>
        </w:rPr>
        <w:tab/>
        <w:t>Башкы ишкана А, В, же С туунду ишканаларынын кайсынысы болбосун алардын тийиштүү колдонуудагы валюталарынын (жапон иенасы (JPY), фунт стерлинг жана АКШ доллары) ортосундагы айырмага байланыштуу валюталык тобокелдикке карата өзүнүн таза инвестицияларын хеджирлей алат. Мындан тышкары, башкы ишкана В туунду ишканасынын жана С туунду ишканасынын колдонуудагы валюталарынын ортосундагы айырмага байланыштуу USD/GBP валюталык тобокелдикти хеджирлей алат. В туунду ишканасы өзүнүн бириктирилген финансылык отчеттуулугунда өзүнүн таза инвестициясын С туунду ишканасына алардын колдонуудагы валюталарынын – АКШ долларынын жана фунт стерлингдин ортосундагы валюталык тобокелдикке карата хеджирлей алат. Төмөнкүдөй мисалдарда хеджирленген тобокелдик ишкананын каалоосу боюнча учурдагы валюталык курстун өзгөрүлүшүнүн тобокелдиги катары аныкталат, анткени хеджирлөө инструменттери туунду болуп саналбайт. Эгерде форварддык келишимдер хеджирлөө инструменти болсо, башкы ишкана өз каалоосу боюнча форварддык валюталык курстун өзгөрүлүшүнүн тобокелдигин хеджирленген катары аныктай алмак.</w:t>
      </w:r>
    </w:p>
    <w:p w:rsidR="00EE0404" w:rsidRDefault="00F51E5E" w:rsidP="00EE0404">
      <w:pPr>
        <w:pStyle w:val="IASBNormalnpara"/>
        <w:spacing w:before="0" w:after="200"/>
        <w:rPr>
          <w:lang w:val="kk-KZ"/>
        </w:rPr>
      </w:pPr>
      <w:r w:rsidRPr="00544862">
        <w:rPr>
          <w:lang w:val="kk-KZ"/>
        </w:rPr>
        <w:t xml:space="preserve"> </w:t>
      </w:r>
      <w:r w:rsidRPr="00544862">
        <w:rPr>
          <w:lang w:val="kk-KZ"/>
        </w:rPr>
        <w:tab/>
      </w:r>
      <w:r w:rsidRPr="002801F8">
        <w:rPr>
          <w:noProof/>
          <w:lang w:val="ru-RU" w:eastAsia="ru-RU"/>
        </w:rPr>
        <mc:AlternateContent>
          <mc:Choice Requires="wpg">
            <w:drawing>
              <wp:anchor distT="0" distB="0" distL="114300" distR="114300" simplePos="0" relativeHeight="251659264" behindDoc="0" locked="0" layoutInCell="1" allowOverlap="1" wp14:anchorId="243586D9" wp14:editId="3482FA2A">
                <wp:simplePos x="0" y="0"/>
                <wp:positionH relativeFrom="column">
                  <wp:posOffset>164465</wp:posOffset>
                </wp:positionH>
                <wp:positionV relativeFrom="paragraph">
                  <wp:posOffset>377825</wp:posOffset>
                </wp:positionV>
                <wp:extent cx="3960495" cy="2398395"/>
                <wp:effectExtent l="0" t="0" r="20955" b="2095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2398395"/>
                          <a:chOff x="1954" y="7967"/>
                          <a:chExt cx="6237" cy="3777"/>
                        </a:xfrm>
                      </wpg:grpSpPr>
                      <wpg:grpSp>
                        <wpg:cNvPr id="2" name="Group 51"/>
                        <wpg:cNvGrpSpPr>
                          <a:grpSpLocks/>
                        </wpg:cNvGrpSpPr>
                        <wpg:grpSpPr bwMode="auto">
                          <a:xfrm>
                            <a:off x="1954" y="8243"/>
                            <a:ext cx="6103" cy="3283"/>
                            <a:chOff x="1954" y="1574"/>
                            <a:chExt cx="6103" cy="3283"/>
                          </a:xfrm>
                        </wpg:grpSpPr>
                        <wps:wsp>
                          <wps:cNvPr id="3" name="Rectangle 4"/>
                          <wps:cNvSpPr>
                            <a:spLocks noChangeArrowheads="1"/>
                          </wps:cNvSpPr>
                          <wps:spPr bwMode="auto">
                            <a:xfrm>
                              <a:off x="3832" y="1574"/>
                              <a:ext cx="2312" cy="502"/>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wpg:grpSp>
                          <wpg:cNvPr id="4" name="Group 53"/>
                          <wpg:cNvGrpSpPr>
                            <a:grpSpLocks/>
                          </wpg:cNvGrpSpPr>
                          <wpg:grpSpPr bwMode="auto">
                            <a:xfrm>
                              <a:off x="1954" y="1597"/>
                              <a:ext cx="6103" cy="3260"/>
                              <a:chOff x="1954" y="1597"/>
                              <a:chExt cx="6103" cy="3260"/>
                            </a:xfrm>
                          </wpg:grpSpPr>
                          <wps:wsp>
                            <wps:cNvPr id="5" name="Text Box 6"/>
                            <wps:cNvSpPr txBox="1">
                              <a:spLocks noChangeArrowheads="1"/>
                            </wps:cNvSpPr>
                            <wps:spPr bwMode="auto">
                              <a:xfrm>
                                <a:off x="3855" y="1597"/>
                                <a:ext cx="2230" cy="397"/>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rsidR="002801F8" w:rsidRDefault="00F51E5E" w:rsidP="002801F8">
                                  <w:pPr>
                                    <w:spacing w:after="0"/>
                                    <w:jc w:val="center"/>
                                    <w:rPr>
                                      <w:rFonts w:ascii="Arial" w:hAnsi="Arial" w:cs="Arial"/>
                                      <w:sz w:val="13"/>
                                      <w:lang w:val="kk-KZ"/>
                                    </w:rPr>
                                  </w:pPr>
                                  <w:r w:rsidRPr="00F51E5E">
                                    <w:rPr>
                                      <w:rFonts w:ascii="Arial" w:hAnsi="Arial" w:cs="Arial"/>
                                      <w:sz w:val="13"/>
                                    </w:rPr>
                                    <w:t xml:space="preserve">Башкы ишкана </w:t>
                                  </w:r>
                                </w:p>
                                <w:p w:rsidR="00F51E5E" w:rsidRPr="004C2103" w:rsidRDefault="00F51E5E" w:rsidP="002801F8">
                                  <w:pPr>
                                    <w:spacing w:after="0"/>
                                    <w:jc w:val="center"/>
                                    <w:rPr>
                                      <w:sz w:val="15"/>
                                    </w:rPr>
                                  </w:pPr>
                                  <w:r w:rsidRPr="00F51E5E">
                                    <w:rPr>
                                      <w:rFonts w:ascii="Arial" w:hAnsi="Arial" w:cs="Arial"/>
                                      <w:sz w:val="13"/>
                                    </w:rPr>
                                    <w:t>Колдонуудагы валютасы EUR (евро)</w:t>
                                  </w:r>
                                  <w:r w:rsidRPr="00F51E5E">
                                    <w:rPr>
                                      <w:rFonts w:ascii="Arial" w:hAnsi="Arial" w:cs="Arial"/>
                                      <w:sz w:val="13"/>
                                    </w:rPr>
                                    <w:tab/>
                                  </w:r>
                                </w:p>
                              </w:txbxContent>
                            </wps:txbx>
                            <wps:bodyPr rot="0" vert="horz" wrap="square" lIns="58522" tIns="29261" rIns="58522" bIns="29261" anchor="t" anchorCtr="0" upright="1">
                              <a:noAutofit/>
                            </wps:bodyPr>
                          </wps:wsp>
                          <wps:wsp>
                            <wps:cNvPr id="6" name="Line 7"/>
                            <wps:cNvCnPr>
                              <a:cxnSpLocks noChangeShapeType="1"/>
                            </wps:cNvCnPr>
                            <wps:spPr bwMode="auto">
                              <a:xfrm flipH="1">
                                <a:off x="3406" y="2069"/>
                                <a:ext cx="691"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779" y="2081"/>
                                <a:ext cx="916"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1954" y="2369"/>
                                <a:ext cx="165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51E5E" w:rsidRPr="004C2103" w:rsidRDefault="003A39EA" w:rsidP="00F51E5E">
                                  <w:pPr>
                                    <w:jc w:val="right"/>
                                    <w:rPr>
                                      <w:rFonts w:ascii="Arial" w:hAnsi="Arial" w:cs="Arial"/>
                                      <w:sz w:val="13"/>
                                    </w:rPr>
                                  </w:pPr>
                                  <w:r w:rsidRPr="003A39EA">
                                    <w:rPr>
                                      <w:rFonts w:ascii="Arial" w:hAnsi="Arial" w:cs="Arial"/>
                                      <w:sz w:val="13"/>
                                    </w:rPr>
                                    <w:t>Y400,000 миллион</w:t>
                                  </w:r>
                                </w:p>
                              </w:txbxContent>
                            </wps:txbx>
                            <wps:bodyPr rot="0" vert="horz" wrap="square" lIns="58522" tIns="29261" rIns="58522" bIns="29261" anchor="t" anchorCtr="0" upright="1">
                              <a:noAutofit/>
                            </wps:bodyPr>
                          </wps:wsp>
                          <wps:wsp>
                            <wps:cNvPr id="9" name="Rectangle 5"/>
                            <wps:cNvSpPr>
                              <a:spLocks noChangeArrowheads="1"/>
                            </wps:cNvSpPr>
                            <wps:spPr bwMode="auto">
                              <a:xfrm>
                                <a:off x="2645" y="2887"/>
                                <a:ext cx="2200" cy="749"/>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wps:wsp>
                            <wps:cNvPr id="10" name="Line 9"/>
                            <wps:cNvCnPr>
                              <a:cxnSpLocks noChangeShapeType="1"/>
                            </wps:cNvCnPr>
                            <wps:spPr bwMode="auto">
                              <a:xfrm flipH="1">
                                <a:off x="6217" y="3417"/>
                                <a:ext cx="11" cy="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6"/>
                            <wps:cNvSpPr txBox="1">
                              <a:spLocks noChangeArrowheads="1"/>
                            </wps:cNvSpPr>
                            <wps:spPr bwMode="auto">
                              <a:xfrm>
                                <a:off x="6412" y="2357"/>
                                <a:ext cx="13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51E5E" w:rsidRPr="004C2103" w:rsidRDefault="003A39EA" w:rsidP="00F51E5E">
                                  <w:pPr>
                                    <w:rPr>
                                      <w:rFonts w:ascii="Arial" w:hAnsi="Arial" w:cs="Arial"/>
                                      <w:sz w:val="13"/>
                                    </w:rPr>
                                  </w:pPr>
                                  <w:r w:rsidRPr="003A39EA">
                                    <w:rPr>
                                      <w:rFonts w:ascii="Arial" w:hAnsi="Arial" w:cs="Arial"/>
                                      <w:sz w:val="13"/>
                                    </w:rPr>
                                    <w:t>500 миллион евро</w:t>
                                  </w:r>
                                </w:p>
                              </w:txbxContent>
                            </wps:txbx>
                            <wps:bodyPr rot="0" vert="horz" wrap="square" lIns="58522" tIns="29261" rIns="58522" bIns="29261" anchor="t" anchorCtr="0" upright="1">
                              <a:noAutofit/>
                            </wps:bodyPr>
                          </wps:wsp>
                          <wps:wsp>
                            <wps:cNvPr id="12" name="Text Box 12"/>
                            <wps:cNvSpPr txBox="1">
                              <a:spLocks noChangeArrowheads="1"/>
                            </wps:cNvSpPr>
                            <wps:spPr bwMode="auto">
                              <a:xfrm>
                                <a:off x="2864" y="2956"/>
                                <a:ext cx="1755" cy="680"/>
                              </a:xfrm>
                              <a:prstGeom prst="rect">
                                <a:avLst/>
                              </a:prstGeom>
                              <a:solidFill>
                                <a:srgbClr val="C0C0C0"/>
                              </a:solidFill>
                              <a:ln w="9525">
                                <a:solidFill>
                                  <a:srgbClr val="C0C0C0"/>
                                </a:solidFill>
                                <a:miter lim="800000"/>
                                <a:headEnd/>
                                <a:tailEnd/>
                              </a:ln>
                            </wps:spPr>
                            <wps:txbx>
                              <w:txbxContent>
                                <w:p w:rsidR="00F51E5E" w:rsidRPr="004C2103" w:rsidRDefault="002801F8" w:rsidP="003A39EA">
                                  <w:pPr>
                                    <w:jc w:val="center"/>
                                    <w:rPr>
                                      <w:rFonts w:ascii="Arial" w:hAnsi="Arial" w:cs="Arial"/>
                                      <w:sz w:val="13"/>
                                    </w:rPr>
                                  </w:pPr>
                                  <w:r>
                                    <w:rPr>
                                      <w:rFonts w:ascii="Arial" w:hAnsi="Arial" w:cs="Arial"/>
                                      <w:sz w:val="13"/>
                                    </w:rPr>
                                    <w:t xml:space="preserve">A </w:t>
                                  </w:r>
                                  <w:r>
                                    <w:rPr>
                                      <w:rFonts w:ascii="Arial" w:hAnsi="Arial" w:cs="Arial"/>
                                      <w:sz w:val="13"/>
                                    </w:rPr>
                                    <w:t>туунду ишканасы</w:t>
                                  </w:r>
                                  <w:r w:rsidR="003A39EA">
                                    <w:rPr>
                                      <w:rFonts w:ascii="Arial" w:hAnsi="Arial" w:cs="Arial"/>
                                      <w:sz w:val="13"/>
                                      <w:lang w:val="kk-KZ"/>
                                    </w:rPr>
                                    <w:t xml:space="preserve"> </w:t>
                                  </w:r>
                                  <w:r w:rsidR="003A39EA" w:rsidRPr="003A39EA">
                                    <w:rPr>
                                      <w:rFonts w:ascii="Arial" w:hAnsi="Arial" w:cs="Arial"/>
                                      <w:sz w:val="13"/>
                                    </w:rPr>
                                    <w:t>Колдонуудагы валютасы JPY (жапон иенасы)</w:t>
                                  </w:r>
                                  <w:r w:rsidR="003A39EA" w:rsidRPr="003A39EA">
                                    <w:rPr>
                                      <w:rFonts w:ascii="Arial" w:hAnsi="Arial" w:cs="Arial"/>
                                      <w:sz w:val="13"/>
                                    </w:rPr>
                                    <w:tab/>
                                  </w:r>
                                  <w:r w:rsidR="003A39EA" w:rsidRPr="003A39EA">
                                    <w:rPr>
                                      <w:rFonts w:ascii="Arial" w:hAnsi="Arial" w:cs="Arial"/>
                                      <w:sz w:val="13"/>
                                    </w:rPr>
                                    <w:tab/>
                                  </w:r>
                                </w:p>
                              </w:txbxContent>
                            </wps:txbx>
                            <wps:bodyPr rot="0" vert="horz" wrap="square" lIns="58522" tIns="29261" rIns="58522" bIns="29261" anchor="t" anchorCtr="0" upright="1">
                              <a:noAutofit/>
                            </wps:bodyPr>
                          </wps:wsp>
                          <wps:wsp>
                            <wps:cNvPr id="13" name="Text Box 15"/>
                            <wps:cNvSpPr txBox="1">
                              <a:spLocks noChangeArrowheads="1"/>
                            </wps:cNvSpPr>
                            <wps:spPr bwMode="auto">
                              <a:xfrm>
                                <a:off x="6378" y="3636"/>
                                <a:ext cx="1679"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51E5E" w:rsidRPr="004C2103" w:rsidRDefault="003A39EA" w:rsidP="00F51E5E">
                                  <w:pPr>
                                    <w:rPr>
                                      <w:sz w:val="13"/>
                                    </w:rPr>
                                  </w:pPr>
                                  <w:r w:rsidRPr="003A39EA">
                                    <w:rPr>
                                      <w:sz w:val="13"/>
                                    </w:rPr>
                                    <w:t>US$300 миллион (</w:t>
                                  </w:r>
                                  <w:r w:rsidRPr="003A39EA">
                                    <w:rPr>
                                      <w:sz w:val="13"/>
                                    </w:rPr>
                                    <w:t>эквиваленти   159 миллион евро)</w:t>
                                  </w:r>
                                </w:p>
                              </w:txbxContent>
                            </wps:txbx>
                            <wps:bodyPr rot="0" vert="horz" wrap="square" lIns="58522" tIns="29261" rIns="58522" bIns="29261" anchor="t" anchorCtr="0" upright="1">
                              <a:noAutofit/>
                            </wps:bodyPr>
                          </wps:wsp>
                          <wps:wsp>
                            <wps:cNvPr id="14" name="Text Box 24"/>
                            <wps:cNvSpPr txBox="1">
                              <a:spLocks noChangeArrowheads="1"/>
                            </wps:cNvSpPr>
                            <wps:spPr bwMode="auto">
                              <a:xfrm>
                                <a:off x="5111" y="2887"/>
                                <a:ext cx="2199" cy="749"/>
                              </a:xfrm>
                              <a:prstGeom prst="rect">
                                <a:avLst/>
                              </a:prstGeom>
                              <a:solidFill>
                                <a:srgbClr val="BFBFBF"/>
                              </a:solidFill>
                              <a:ln w="12700">
                                <a:solidFill>
                                  <a:srgbClr val="000000"/>
                                </a:solidFill>
                                <a:miter lim="800000"/>
                                <a:headEnd/>
                                <a:tailEnd/>
                              </a:ln>
                            </wps:spPr>
                            <wps:txbx>
                              <w:txbxContent>
                                <w:p w:rsidR="003A39EA" w:rsidRPr="003A39EA" w:rsidRDefault="003A39EA" w:rsidP="003A39EA">
                                  <w:pPr>
                                    <w:spacing w:after="0"/>
                                    <w:jc w:val="center"/>
                                    <w:rPr>
                                      <w:rFonts w:ascii="Arial" w:hAnsi="Arial" w:cs="Arial"/>
                                      <w:sz w:val="13"/>
                                      <w:szCs w:val="13"/>
                                    </w:rPr>
                                  </w:pPr>
                                  <w:r w:rsidRPr="003A39EA">
                                    <w:rPr>
                                      <w:rFonts w:ascii="Arial" w:hAnsi="Arial" w:cs="Arial"/>
                                      <w:sz w:val="13"/>
                                      <w:szCs w:val="13"/>
                                    </w:rPr>
                                    <w:t xml:space="preserve">B </w:t>
                                  </w:r>
                                  <w:r w:rsidRPr="003A39EA">
                                    <w:rPr>
                                      <w:rFonts w:ascii="Arial" w:hAnsi="Arial" w:cs="Arial"/>
                                      <w:sz w:val="13"/>
                                      <w:szCs w:val="13"/>
                                    </w:rPr>
                                    <w:t>туунду ишканасы</w:t>
                                  </w:r>
                                </w:p>
                                <w:p w:rsidR="00F51E5E" w:rsidRPr="000C11FB" w:rsidRDefault="003A39EA" w:rsidP="003A39EA">
                                  <w:pPr>
                                    <w:spacing w:after="0"/>
                                    <w:jc w:val="center"/>
                                    <w:rPr>
                                      <w:rFonts w:ascii="Arial" w:hAnsi="Arial" w:cs="Arial"/>
                                      <w:sz w:val="13"/>
                                      <w:szCs w:val="13"/>
                                    </w:rPr>
                                  </w:pPr>
                                  <w:r w:rsidRPr="003A39EA">
                                    <w:rPr>
                                      <w:rFonts w:ascii="Arial" w:hAnsi="Arial" w:cs="Arial"/>
                                      <w:sz w:val="13"/>
                                      <w:szCs w:val="13"/>
                                    </w:rPr>
                                    <w:t>Колдонуудагы валютасы GBP (фунт стерлинг)</w:t>
                                  </w:r>
                                </w:p>
                              </w:txbxContent>
                            </wps:txbx>
                            <wps:bodyPr rot="0" vert="horz" wrap="square" lIns="91440" tIns="45720" rIns="91440" bIns="45720" anchor="ctr" anchorCtr="0" upright="1">
                              <a:noAutofit/>
                            </wps:bodyPr>
                          </wps:wsp>
                          <wpg:grpSp>
                            <wpg:cNvPr id="15" name="Group 64"/>
                            <wpg:cNvGrpSpPr>
                              <a:grpSpLocks/>
                            </wpg:cNvGrpSpPr>
                            <wpg:grpSpPr bwMode="auto">
                              <a:xfrm>
                                <a:off x="5099" y="4257"/>
                                <a:ext cx="2199" cy="600"/>
                                <a:chOff x="5099" y="4258"/>
                                <a:chExt cx="2199" cy="537"/>
                              </a:xfrm>
                            </wpg:grpSpPr>
                            <wps:wsp>
                              <wps:cNvPr id="16" name="Rectangle 3"/>
                              <wps:cNvSpPr>
                                <a:spLocks noChangeArrowheads="1"/>
                              </wps:cNvSpPr>
                              <wps:spPr bwMode="auto">
                                <a:xfrm>
                                  <a:off x="5099" y="4258"/>
                                  <a:ext cx="2199" cy="537"/>
                                </a:xfrm>
                                <a:prstGeom prst="rect">
                                  <a:avLst/>
                                </a:prstGeom>
                                <a:solidFill>
                                  <a:srgbClr val="C0C0C0"/>
                                </a:solidFill>
                                <a:ln w="12700">
                                  <a:solidFill>
                                    <a:srgbClr val="000000"/>
                                  </a:solidFill>
                                  <a:miter lim="800000"/>
                                  <a:headEnd/>
                                  <a:tailEnd/>
                                </a:ln>
                              </wps:spPr>
                              <wps:bodyPr rot="0" vert="horz" wrap="square" lIns="91440" tIns="45720" rIns="91440" bIns="45720" anchor="t" anchorCtr="0" upright="1">
                                <a:noAutofit/>
                              </wps:bodyPr>
                            </wps:wsp>
                            <wps:wsp>
                              <wps:cNvPr id="17" name="Text Box 13"/>
                              <wps:cNvSpPr txBox="1">
                                <a:spLocks noChangeArrowheads="1"/>
                              </wps:cNvSpPr>
                              <wps:spPr bwMode="auto">
                                <a:xfrm>
                                  <a:off x="5161" y="4267"/>
                                  <a:ext cx="2036" cy="528"/>
                                </a:xfrm>
                                <a:prstGeom prst="rect">
                                  <a:avLst/>
                                </a:prstGeom>
                                <a:solidFill>
                                  <a:srgbClr val="C0C0C0"/>
                                </a:solidFill>
                                <a:ln w="9525">
                                  <a:solidFill>
                                    <a:srgbClr val="C0C0C0"/>
                                  </a:solidFill>
                                  <a:miter lim="800000"/>
                                  <a:headEnd/>
                                  <a:tailEnd/>
                                </a:ln>
                              </wps:spPr>
                              <wps:txbx>
                                <w:txbxContent>
                                  <w:p w:rsidR="003A39EA" w:rsidRPr="003A39EA" w:rsidRDefault="003A39EA" w:rsidP="003A39EA">
                                    <w:pPr>
                                      <w:spacing w:after="0"/>
                                      <w:jc w:val="center"/>
                                      <w:rPr>
                                        <w:rFonts w:ascii="Arial" w:hAnsi="Arial" w:cs="Arial"/>
                                        <w:sz w:val="11"/>
                                      </w:rPr>
                                    </w:pPr>
                                    <w:r w:rsidRPr="003A39EA">
                                      <w:rPr>
                                        <w:rFonts w:ascii="Arial" w:hAnsi="Arial" w:cs="Arial"/>
                                        <w:sz w:val="11"/>
                                      </w:rPr>
                                      <w:t xml:space="preserve">C </w:t>
                                    </w:r>
                                    <w:r w:rsidRPr="003A39EA">
                                      <w:rPr>
                                        <w:rFonts w:ascii="Arial" w:hAnsi="Arial" w:cs="Arial"/>
                                        <w:sz w:val="11"/>
                                      </w:rPr>
                                      <w:t>туунду ишканасы</w:t>
                                    </w:r>
                                  </w:p>
                                  <w:p w:rsidR="00F51E5E" w:rsidRPr="003A39EA" w:rsidRDefault="003A39EA" w:rsidP="003A39EA">
                                    <w:pPr>
                                      <w:jc w:val="center"/>
                                      <w:rPr>
                                        <w:sz w:val="13"/>
                                      </w:rPr>
                                    </w:pPr>
                                    <w:r w:rsidRPr="003A39EA">
                                      <w:rPr>
                                        <w:rFonts w:ascii="Arial" w:hAnsi="Arial" w:cs="Arial"/>
                                        <w:sz w:val="11"/>
                                      </w:rPr>
                                      <w:t>Колдонуудагы валютасы USD (АКШ доллары)</w:t>
                                    </w:r>
                                  </w:p>
                                </w:txbxContent>
                              </wps:txbx>
                              <wps:bodyPr rot="0" vert="horz" wrap="square" lIns="58522" tIns="29261" rIns="58522" bIns="29261" anchor="t" anchorCtr="0" upright="1">
                                <a:noAutofit/>
                              </wps:bodyPr>
                            </wps:wsp>
                          </wpg:grpSp>
                        </wpg:grpSp>
                      </wpg:grpSp>
                      <wps:wsp>
                        <wps:cNvPr id="18" name="Rectangle 67"/>
                        <wps:cNvSpPr>
                          <a:spLocks noChangeArrowheads="1"/>
                        </wps:cNvSpPr>
                        <wps:spPr bwMode="auto">
                          <a:xfrm>
                            <a:off x="2243" y="7967"/>
                            <a:ext cx="5948" cy="37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586D9" id="Группа 1" o:spid="_x0000_s1026" style="position:absolute;left:0;text-align:left;margin-left:12.95pt;margin-top:29.75pt;width:311.85pt;height:188.85pt;z-index:251659264" coordorigin="1954,7967" coordsize="6237,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">
                <v:group id="Group 51" o:spid="_x0000_s1027" style="position:absolute;left:1954;top:8243;width:6103;height:3283" coordorigin="1954,1574" coordsize="6103,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3832;top:1574;width:2312;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" fillcolor="silver" strokeweight="1pt"/>
                  <v:group id="Group 53" o:spid="_x0000_s1029" style="position:absolute;left:1954;top:1597;width:6103;height:3260" coordorigin="1954,1597" coordsize="6103,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6" o:spid="_x0000_s1030" type="#_x0000_t202" style="position:absolute;left:3855;top:1597;width:223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" filled="f" strokecolor="silver">
                      <v:textbox inset="1.62561mm,.81281mm,1.62561mm,.81281mm">
                        <w:txbxContent>
                          <w:p w:rsidR="002801F8" w:rsidRDefault="00F51E5E" w:rsidP="002801F8">
                            <w:pPr>
                              <w:spacing w:after="0"/>
                              <w:jc w:val="center"/>
                              <w:rPr>
                                <w:rFonts w:ascii="Arial" w:hAnsi="Arial" w:cs="Arial"/>
                                <w:sz w:val="13"/>
                                <w:lang w:val="kk-KZ"/>
                              </w:rPr>
                            </w:pPr>
                            <w:r w:rsidRPr="00F51E5E">
                              <w:rPr>
                                <w:rFonts w:ascii="Arial" w:hAnsi="Arial" w:cs="Arial"/>
                                <w:sz w:val="13"/>
                              </w:rPr>
                              <w:t xml:space="preserve">Башкы ишкана </w:t>
                            </w:r>
                          </w:p>
                          <w:p w:rsidR="00F51E5E" w:rsidRPr="004C2103" w:rsidRDefault="00F51E5E" w:rsidP="002801F8">
                            <w:pPr>
                              <w:spacing w:after="0"/>
                              <w:jc w:val="center"/>
                              <w:rPr>
                                <w:sz w:val="15"/>
                              </w:rPr>
                            </w:pPr>
                            <w:r w:rsidRPr="00F51E5E">
                              <w:rPr>
                                <w:rFonts w:ascii="Arial" w:hAnsi="Arial" w:cs="Arial"/>
                                <w:sz w:val="13"/>
                              </w:rPr>
                              <w:t>Колдонуудагы валютасы EUR (евро)</w:t>
                            </w:r>
                            <w:r w:rsidRPr="00F51E5E">
                              <w:rPr>
                                <w:rFonts w:ascii="Arial" w:hAnsi="Arial" w:cs="Arial"/>
                                <w:sz w:val="13"/>
                              </w:rPr>
                              <w:tab/>
                            </w:r>
                          </w:p>
                        </w:txbxContent>
                      </v:textbox>
                    </v:shape>
                    <v:line id="Line 7" o:spid="_x0000_s1031" style="position:absolute;flip:x;visibility:visible;mso-wrap-style:square" from="3406,2069" to="409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8" o:spid="_x0000_s1032" style="position:absolute;visibility:visible;mso-wrap-style:square" from="5779,2081" to="6695,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10" o:spid="_x0000_s1033" type="#_x0000_t202" style="position:absolute;left:1954;top:2369;width:165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" filled="f" stroked="f" strokecolor="white">
                      <v:textbox inset="1.62561mm,.81281mm,1.62561mm,.81281mm">
                        <w:txbxContent>
                          <w:p w:rsidR="00F51E5E" w:rsidRPr="004C2103" w:rsidRDefault="003A39EA" w:rsidP="00F51E5E">
                            <w:pPr>
                              <w:jc w:val="right"/>
                              <w:rPr>
                                <w:rFonts w:ascii="Arial" w:hAnsi="Arial" w:cs="Arial"/>
                                <w:sz w:val="13"/>
                              </w:rPr>
                            </w:pPr>
                            <w:r w:rsidRPr="003A39EA">
                              <w:rPr>
                                <w:rFonts w:ascii="Arial" w:hAnsi="Arial" w:cs="Arial"/>
                                <w:sz w:val="13"/>
                              </w:rPr>
                              <w:t>Y400,000 миллион</w:t>
                            </w:r>
                          </w:p>
                        </w:txbxContent>
                      </v:textbox>
                    </v:shape>
                    <v:rect id="Rectangle 5" o:spid="_x0000_s1034" style="position:absolute;left:2645;top:2887;width:2200;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" fillcolor="silver" strokeweight="1pt"/>
                    <v:line id="Line 9" o:spid="_x0000_s1035" style="position:absolute;flip:x;visibility:visible;mso-wrap-style:square" from="6217,3417" to="6228,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6" o:spid="_x0000_s1036" type="#_x0000_t202" style="position:absolute;left:6412;top:2357;width:132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" filled="f" stroked="f" strokecolor="white">
                      <v:textbox inset="1.62561mm,.81281mm,1.62561mm,.81281mm">
                        <w:txbxContent>
                          <w:p w:rsidR="00F51E5E" w:rsidRPr="004C2103" w:rsidRDefault="003A39EA" w:rsidP="00F51E5E">
                            <w:pPr>
                              <w:rPr>
                                <w:rFonts w:ascii="Arial" w:hAnsi="Arial" w:cs="Arial"/>
                                <w:sz w:val="13"/>
                              </w:rPr>
                            </w:pPr>
                            <w:r w:rsidRPr="003A39EA">
                              <w:rPr>
                                <w:rFonts w:ascii="Arial" w:hAnsi="Arial" w:cs="Arial"/>
                                <w:sz w:val="13"/>
                              </w:rPr>
                              <w:t>500 миллион евро</w:t>
                            </w:r>
                          </w:p>
                        </w:txbxContent>
                      </v:textbox>
                    </v:shape>
                    <v:shape id="Text Box 12" o:spid="_x0000_s1037" type="#_x0000_t202" style="position:absolute;left:2864;top:2956;width:175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" fillcolor="silver" strokecolor="silver">
                      <v:textbox inset="1.62561mm,.81281mm,1.62561mm,.81281mm">
                        <w:txbxContent>
                          <w:p w:rsidR="00F51E5E" w:rsidRPr="004C2103" w:rsidRDefault="002801F8" w:rsidP="003A39EA">
                            <w:pPr>
                              <w:jc w:val="center"/>
                              <w:rPr>
                                <w:rFonts w:ascii="Arial" w:hAnsi="Arial" w:cs="Arial"/>
                                <w:sz w:val="13"/>
                              </w:rPr>
                            </w:pPr>
                            <w:r>
                              <w:rPr>
                                <w:rFonts w:ascii="Arial" w:hAnsi="Arial" w:cs="Arial"/>
                                <w:sz w:val="13"/>
                              </w:rPr>
                              <w:t xml:space="preserve">A </w:t>
                            </w:r>
                            <w:r>
                              <w:rPr>
                                <w:rFonts w:ascii="Arial" w:hAnsi="Arial" w:cs="Arial"/>
                                <w:sz w:val="13"/>
                              </w:rPr>
                              <w:t>туунду ишканасы</w:t>
                            </w:r>
                            <w:r w:rsidR="003A39EA">
                              <w:rPr>
                                <w:rFonts w:ascii="Arial" w:hAnsi="Arial" w:cs="Arial"/>
                                <w:sz w:val="13"/>
                                <w:lang w:val="kk-KZ"/>
                              </w:rPr>
                              <w:t xml:space="preserve"> </w:t>
                            </w:r>
                            <w:r w:rsidR="003A39EA" w:rsidRPr="003A39EA">
                              <w:rPr>
                                <w:rFonts w:ascii="Arial" w:hAnsi="Arial" w:cs="Arial"/>
                                <w:sz w:val="13"/>
                              </w:rPr>
                              <w:t>Колдонуудагы валютасы JPY (жапон иенасы)</w:t>
                            </w:r>
                            <w:r w:rsidR="003A39EA" w:rsidRPr="003A39EA">
                              <w:rPr>
                                <w:rFonts w:ascii="Arial" w:hAnsi="Arial" w:cs="Arial"/>
                                <w:sz w:val="13"/>
                              </w:rPr>
                              <w:tab/>
                            </w:r>
                            <w:r w:rsidR="003A39EA" w:rsidRPr="003A39EA">
                              <w:rPr>
                                <w:rFonts w:ascii="Arial" w:hAnsi="Arial" w:cs="Arial"/>
                                <w:sz w:val="13"/>
                              </w:rPr>
                              <w:tab/>
                            </w:r>
                          </w:p>
                        </w:txbxContent>
                      </v:textbox>
                    </v:shape>
                    <v:shape id="Text Box 15" o:spid="_x0000_s1038" type="#_x0000_t202" style="position:absolute;left:6378;top:3636;width:1679;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" filled="f" stroked="f" strokecolor="white">
                      <v:textbox inset="1.62561mm,.81281mm,1.62561mm,.81281mm">
                        <w:txbxContent>
                          <w:p w:rsidR="00F51E5E" w:rsidRPr="004C2103" w:rsidRDefault="003A39EA" w:rsidP="00F51E5E">
                            <w:pPr>
                              <w:rPr>
                                <w:sz w:val="13"/>
                              </w:rPr>
                            </w:pPr>
                            <w:r w:rsidRPr="003A39EA">
                              <w:rPr>
                                <w:sz w:val="13"/>
                              </w:rPr>
                              <w:t>US$300 миллион (</w:t>
                            </w:r>
                            <w:r w:rsidRPr="003A39EA">
                              <w:rPr>
                                <w:sz w:val="13"/>
                              </w:rPr>
                              <w:t>эквиваленти   159 миллион евро)</w:t>
                            </w:r>
                          </w:p>
                        </w:txbxContent>
                      </v:textbox>
                    </v:shape>
                    <v:shape id="Text Box 24" o:spid="_x0000_s1039" type="#_x0000_t202" style="position:absolute;left:5111;top:2887;width:2199;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" fillcolor="#bfbfbf" strokeweight="1pt">
                      <v:textbox>
                        <w:txbxContent>
                          <w:p w:rsidR="003A39EA" w:rsidRPr="003A39EA" w:rsidRDefault="003A39EA" w:rsidP="003A39EA">
                            <w:pPr>
                              <w:spacing w:after="0"/>
                              <w:jc w:val="center"/>
                              <w:rPr>
                                <w:rFonts w:ascii="Arial" w:hAnsi="Arial" w:cs="Arial"/>
                                <w:sz w:val="13"/>
                                <w:szCs w:val="13"/>
                              </w:rPr>
                            </w:pPr>
                            <w:r w:rsidRPr="003A39EA">
                              <w:rPr>
                                <w:rFonts w:ascii="Arial" w:hAnsi="Arial" w:cs="Arial"/>
                                <w:sz w:val="13"/>
                                <w:szCs w:val="13"/>
                              </w:rPr>
                              <w:t xml:space="preserve">B </w:t>
                            </w:r>
                            <w:r w:rsidRPr="003A39EA">
                              <w:rPr>
                                <w:rFonts w:ascii="Arial" w:hAnsi="Arial" w:cs="Arial"/>
                                <w:sz w:val="13"/>
                                <w:szCs w:val="13"/>
                              </w:rPr>
                              <w:t>туунду ишканасы</w:t>
                            </w:r>
                          </w:p>
                          <w:p w:rsidR="00F51E5E" w:rsidRPr="000C11FB" w:rsidRDefault="003A39EA" w:rsidP="003A39EA">
                            <w:pPr>
                              <w:spacing w:after="0"/>
                              <w:jc w:val="center"/>
                              <w:rPr>
                                <w:rFonts w:ascii="Arial" w:hAnsi="Arial" w:cs="Arial"/>
                                <w:sz w:val="13"/>
                                <w:szCs w:val="13"/>
                              </w:rPr>
                            </w:pPr>
                            <w:r w:rsidRPr="003A39EA">
                              <w:rPr>
                                <w:rFonts w:ascii="Arial" w:hAnsi="Arial" w:cs="Arial"/>
                                <w:sz w:val="13"/>
                                <w:szCs w:val="13"/>
                              </w:rPr>
                              <w:t>Колдонуудагы валютасы GBP (фунт стерлинг)</w:t>
                            </w:r>
                          </w:p>
                        </w:txbxContent>
                      </v:textbox>
                    </v:shape>
                    <v:group id="Group 64" o:spid="_x0000_s1040" style="position:absolute;left:5099;top:4257;width:2199;height:600" coordorigin="5099,4258" coordsize="219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3" o:spid="_x0000_s1041" style="position:absolute;left:5099;top:4258;width:2199;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" fillcolor="silver" strokeweight="1pt"/>
                      <v:shape id="Text Box 13" o:spid="_x0000_s1042" type="#_x0000_t202" style="position:absolute;left:5161;top:4267;width:203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" fillcolor="silver" strokecolor="silver">
                        <v:textbox inset="1.62561mm,.81281mm,1.62561mm,.81281mm">
                          <w:txbxContent>
                            <w:p w:rsidR="003A39EA" w:rsidRPr="003A39EA" w:rsidRDefault="003A39EA" w:rsidP="003A39EA">
                              <w:pPr>
                                <w:spacing w:after="0"/>
                                <w:jc w:val="center"/>
                                <w:rPr>
                                  <w:rFonts w:ascii="Arial" w:hAnsi="Arial" w:cs="Arial"/>
                                  <w:sz w:val="11"/>
                                </w:rPr>
                              </w:pPr>
                              <w:r w:rsidRPr="003A39EA">
                                <w:rPr>
                                  <w:rFonts w:ascii="Arial" w:hAnsi="Arial" w:cs="Arial"/>
                                  <w:sz w:val="11"/>
                                </w:rPr>
                                <w:t xml:space="preserve">C </w:t>
                              </w:r>
                              <w:r w:rsidRPr="003A39EA">
                                <w:rPr>
                                  <w:rFonts w:ascii="Arial" w:hAnsi="Arial" w:cs="Arial"/>
                                  <w:sz w:val="11"/>
                                </w:rPr>
                                <w:t>туунду ишканасы</w:t>
                              </w:r>
                            </w:p>
                            <w:p w:rsidR="00F51E5E" w:rsidRPr="003A39EA" w:rsidRDefault="003A39EA" w:rsidP="003A39EA">
                              <w:pPr>
                                <w:jc w:val="center"/>
                                <w:rPr>
                                  <w:sz w:val="13"/>
                                </w:rPr>
                              </w:pPr>
                              <w:r w:rsidRPr="003A39EA">
                                <w:rPr>
                                  <w:rFonts w:ascii="Arial" w:hAnsi="Arial" w:cs="Arial"/>
                                  <w:sz w:val="11"/>
                                </w:rPr>
                                <w:t>Колдонуудагы валютасы USD (АКШ доллары)</w:t>
                              </w:r>
                            </w:p>
                          </w:txbxContent>
                        </v:textbox>
                      </v:shape>
                    </v:group>
                  </v:group>
                </v:group>
                <v:rect id="Rectangle 67" o:spid="_x0000_s1043" style="position:absolute;left:2243;top:7967;width:5948;height:3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" filled="f"/>
                <w10:wrap type="topAndBottom"/>
              </v:group>
            </w:pict>
          </mc:Fallback>
        </mc:AlternateContent>
      </w:r>
    </w:p>
    <w:p w:rsidR="00F51E5E" w:rsidRPr="00544862" w:rsidRDefault="00F51E5E" w:rsidP="00EE0404">
      <w:pPr>
        <w:pStyle w:val="IASBNormalnpara"/>
        <w:spacing w:before="0" w:after="200"/>
        <w:rPr>
          <w:b/>
          <w:sz w:val="26"/>
          <w:lang w:val="kk-KZ"/>
        </w:rPr>
      </w:pPr>
      <w:r w:rsidRPr="00544862">
        <w:rPr>
          <w:lang w:val="kk-KZ"/>
        </w:rPr>
        <w:lastRenderedPageBreak/>
        <w:tab/>
      </w:r>
      <w:r w:rsidRPr="00544862">
        <w:rPr>
          <w:b/>
          <w:sz w:val="26"/>
          <w:lang w:val="kk-KZ"/>
        </w:rPr>
        <w:t>Ишкананын каалоосу боюнча аныкталган хеджирлөө мамлелерине киргизилиши мүмкүн болгон хеджирлөө объектисинин суммасы (10–13-пункттар)</w:t>
      </w:r>
    </w:p>
    <w:p w:rsidR="00F51E5E" w:rsidRPr="000E6173" w:rsidRDefault="00F51E5E" w:rsidP="00EE0404">
      <w:pPr>
        <w:spacing w:line="240" w:lineRule="auto"/>
        <w:ind w:left="705" w:hanging="705"/>
        <w:jc w:val="both"/>
        <w:rPr>
          <w:rFonts w:ascii="Times New Roman" w:hAnsi="Times New Roman" w:cs="Times New Roman"/>
          <w:lang w:val="kk-KZ"/>
        </w:rPr>
      </w:pPr>
      <w:r w:rsidRPr="000E6173">
        <w:rPr>
          <w:rFonts w:ascii="Times New Roman" w:hAnsi="Times New Roman" w:cs="Times New Roman"/>
          <w:lang w:val="kk-KZ"/>
        </w:rPr>
        <w:t>AG3</w:t>
      </w:r>
      <w:r w:rsidRPr="000E6173">
        <w:rPr>
          <w:rFonts w:ascii="Times New Roman" w:hAnsi="Times New Roman" w:cs="Times New Roman"/>
          <w:lang w:val="kk-KZ"/>
        </w:rPr>
        <w:tab/>
        <w:t>Башкы ишкана өзүнүн таза инвестициясына карата валюталык тобокелдикти С туунду ишканасына хеджирлөөнү каалайт. А туунду ишканасынын 300 миллион АКШ доллары өлчөмүндөгү тышкы зайымдары бар деп болжолдойлу. А туунду ишканасынын таза активдери отчеттук мезгилдин башында 300 миллион АКШ доллары өлчөмүндөгү тышкы зайымдардан түшүүлөрдү кошуп, 400 000 миллион жапон йенасын түзөт.</w:t>
      </w:r>
    </w:p>
    <w:p w:rsidR="00F51E5E" w:rsidRPr="00D217C5" w:rsidRDefault="00F51E5E" w:rsidP="00EE0404">
      <w:pPr>
        <w:spacing w:line="240" w:lineRule="auto"/>
        <w:ind w:left="705" w:hanging="705"/>
        <w:jc w:val="both"/>
        <w:rPr>
          <w:rFonts w:ascii="Times New Roman" w:hAnsi="Times New Roman" w:cs="Times New Roman"/>
          <w:lang w:val="kk-KZ"/>
        </w:rPr>
      </w:pPr>
      <w:r w:rsidRPr="00D217C5">
        <w:rPr>
          <w:rFonts w:ascii="Times New Roman" w:hAnsi="Times New Roman" w:cs="Times New Roman"/>
          <w:lang w:val="kk-KZ"/>
        </w:rPr>
        <w:t>AG4</w:t>
      </w:r>
      <w:r w:rsidRPr="00D217C5">
        <w:rPr>
          <w:rFonts w:ascii="Times New Roman" w:hAnsi="Times New Roman" w:cs="Times New Roman"/>
          <w:lang w:val="kk-KZ"/>
        </w:rPr>
        <w:tab/>
        <w:t>Бириктирилген финансылык отчеттуулукта башкы ишкананын С туунду ишканасына таза инвестициясынын баланстык наркына (300 миллион АКШ доллары) тең же андан кем таза активдердин суммасы хеджирлөөнүн объекти болушу мүмкүн. Башкы ишкана өзүнүн бириктирилген отчеттуулугунда С туунду ишканасынын таза активдеринин US$300 миллион суммасындагы башкы ишкананын таза инвестициясына байланыштуу EUR/USD учурдагы курстун өзгөрүлүшүнүн тобокелдигин хеджирлөө инструменти катары 300 миллион АКШ доллары өлчөмүндө А туунду ишканасына тышкы зайымдарды өз алдынча аныктай алат. Мындай учурда 300 миллион АКШ доллары суммасындагы А туунду ишканасындагы тышкы зайымдарга карата EUR/USD курсунун өзгөрүлүшүнөн келип чыккан айырма, ошондой эле 300 миллион АКШ доллары суммасында С туунду ишканасына таза инвестицияларга карата EUR/USD курсунун өзгөрүлүшүнөн келип чыккан айырма хеджирлөөнүн эсепке алынышын колдонуудан кийин башкы ишкананын бириктирилген финансылык отчеттуулугунда чет өлкөлүк валютаны кайра эсептөө боюнча резервге камтылат.</w:t>
      </w:r>
    </w:p>
    <w:p w:rsidR="00F51E5E" w:rsidRPr="00D217C5" w:rsidRDefault="00F51E5E" w:rsidP="00EE0404">
      <w:pPr>
        <w:spacing w:line="240" w:lineRule="auto"/>
        <w:ind w:left="705" w:hanging="705"/>
        <w:jc w:val="both"/>
        <w:rPr>
          <w:rFonts w:ascii="Times New Roman" w:hAnsi="Times New Roman" w:cs="Times New Roman"/>
          <w:lang w:val="kk-KZ"/>
        </w:rPr>
      </w:pPr>
      <w:r w:rsidRPr="00D217C5">
        <w:rPr>
          <w:rFonts w:ascii="Times New Roman" w:hAnsi="Times New Roman" w:cs="Times New Roman"/>
          <w:lang w:val="kk-KZ"/>
        </w:rPr>
        <w:t>AG5</w:t>
      </w:r>
      <w:r w:rsidRPr="00D217C5">
        <w:rPr>
          <w:rFonts w:ascii="Times New Roman" w:hAnsi="Times New Roman" w:cs="Times New Roman"/>
          <w:lang w:val="kk-KZ"/>
        </w:rPr>
        <w:tab/>
        <w:t>Хеджирлөөнүн эсепке алынышы жок болгондуктан, 300 миллион АКШ доллары суммасында А туунду ишканасына тышкы зайымдарга карата USD/EUR курсунун өзгөрүлүшүнөн келип чыккан жалпы айырма башкы ишкананын бириктирилген финансылык отчеттуулугунда төмөнкүдөй болуп таанылат:</w:t>
      </w:r>
    </w:p>
    <w:p w:rsidR="00F51E5E" w:rsidRPr="00EE0404" w:rsidRDefault="00F51E5E" w:rsidP="003E4EA2">
      <w:pPr>
        <w:spacing w:line="240" w:lineRule="auto"/>
        <w:ind w:left="1410" w:hanging="705"/>
        <w:jc w:val="both"/>
        <w:rPr>
          <w:rFonts w:ascii="Times New Roman" w:hAnsi="Times New Roman" w:cs="Times New Roman"/>
          <w:lang w:val="kk-KZ"/>
        </w:rPr>
      </w:pPr>
      <w:r w:rsidRPr="00EE0404">
        <w:rPr>
          <w:rFonts w:ascii="Times New Roman" w:hAnsi="Times New Roman" w:cs="Times New Roman"/>
          <w:lang w:val="kk-KZ"/>
        </w:rPr>
        <w:t>•</w:t>
      </w:r>
      <w:r w:rsidRPr="00EE0404">
        <w:rPr>
          <w:rFonts w:ascii="Times New Roman" w:hAnsi="Times New Roman" w:cs="Times New Roman"/>
          <w:lang w:val="kk-KZ"/>
        </w:rPr>
        <w:tab/>
        <w:t xml:space="preserve">USD/JPY учурдагы курсунун өзгөрүлүшүнө байланыштуу, еврого кайра эсептелген айырма пайданын же зыяндын курамында таанылат, жана </w:t>
      </w:r>
    </w:p>
    <w:p w:rsidR="00F51E5E" w:rsidRPr="003E4EA2" w:rsidRDefault="00F51E5E" w:rsidP="003E4EA2">
      <w:pPr>
        <w:spacing w:line="240" w:lineRule="auto"/>
        <w:ind w:left="1410" w:hanging="705"/>
        <w:jc w:val="both"/>
        <w:rPr>
          <w:rFonts w:ascii="Times New Roman" w:hAnsi="Times New Roman" w:cs="Times New Roman"/>
          <w:lang w:val="kk-KZ"/>
        </w:rPr>
      </w:pPr>
      <w:r w:rsidRPr="003E4EA2">
        <w:rPr>
          <w:rFonts w:ascii="Times New Roman" w:hAnsi="Times New Roman" w:cs="Times New Roman"/>
          <w:lang w:val="kk-KZ"/>
        </w:rPr>
        <w:t>•</w:t>
      </w:r>
      <w:r w:rsidRPr="003E4EA2">
        <w:rPr>
          <w:rFonts w:ascii="Times New Roman" w:hAnsi="Times New Roman" w:cs="Times New Roman"/>
          <w:lang w:val="kk-KZ"/>
        </w:rPr>
        <w:tab/>
        <w:t>JPY/EUR учурдагы курсунун өзгөрүлүшүнө байланыштуу айырма башка жыйынды кирешенин курамында таанылат.</w:t>
      </w:r>
    </w:p>
    <w:p w:rsidR="00F51E5E" w:rsidRPr="00A33F48" w:rsidRDefault="00F51E5E" w:rsidP="003E4EA2">
      <w:pPr>
        <w:spacing w:line="240" w:lineRule="auto"/>
        <w:ind w:left="705"/>
        <w:jc w:val="both"/>
        <w:rPr>
          <w:rFonts w:ascii="Times New Roman" w:hAnsi="Times New Roman" w:cs="Times New Roman"/>
          <w:lang w:val="kk-KZ"/>
        </w:rPr>
      </w:pPr>
      <w:r w:rsidRPr="003E4EA2">
        <w:rPr>
          <w:rFonts w:ascii="Times New Roman" w:hAnsi="Times New Roman" w:cs="Times New Roman"/>
          <w:lang w:val="kk-KZ"/>
        </w:rPr>
        <w:t xml:space="preserve">AG4-пунктунда сыпатталган хеджирлөө мамилелерин аныктоонун альтернативасы катары башкы ишкана өзүнүн бириктирилген финансылык отчеттуулугунда С туунду ишканасынын жана В туунду ишканасынын колдонуудагы валюталарынын ортосунда айырма болгондуктан пайда болгон GBP/USD учурдагы курсунун өзгөрүлүшүнүн тобокелдигин хеджирлөө инструменти инструменти катары  300 миллион АКШ доллары суммасында А туунду ишканасындагы тышкы зайымдарды өз каалоосу боюнча аныкташы мүмкүн. </w:t>
      </w:r>
      <w:r w:rsidRPr="00A33F48">
        <w:rPr>
          <w:rFonts w:ascii="Times New Roman" w:hAnsi="Times New Roman" w:cs="Times New Roman"/>
          <w:lang w:val="kk-KZ"/>
        </w:rPr>
        <w:t>Мындай учурда 300 миллион АКШ доллары суммасында А туунду ишканасындагы тышкы зайымдарга карата USD/EUR курсунун өзгөрүлүшүнөн келип чыккан жалпы айырма  башкы ишкананын бириктирилген финансылык отчеттуулугунда төмөнкүдөй болуп таанылат:</w:t>
      </w:r>
    </w:p>
    <w:p w:rsidR="00F51E5E" w:rsidRPr="003E4EA2" w:rsidRDefault="00F51E5E" w:rsidP="003E4EA2">
      <w:pPr>
        <w:spacing w:line="240" w:lineRule="auto"/>
        <w:ind w:left="1410" w:hanging="705"/>
        <w:jc w:val="both"/>
        <w:rPr>
          <w:rFonts w:ascii="Times New Roman" w:hAnsi="Times New Roman" w:cs="Times New Roman"/>
          <w:lang w:val="kk-KZ"/>
        </w:rPr>
      </w:pPr>
      <w:r w:rsidRPr="003E4EA2">
        <w:rPr>
          <w:rFonts w:ascii="Times New Roman" w:hAnsi="Times New Roman" w:cs="Times New Roman"/>
          <w:lang w:val="kk-KZ"/>
        </w:rPr>
        <w:t>•</w:t>
      </w:r>
      <w:r w:rsidRPr="003E4EA2">
        <w:rPr>
          <w:rFonts w:ascii="Times New Roman" w:hAnsi="Times New Roman" w:cs="Times New Roman"/>
          <w:lang w:val="kk-KZ"/>
        </w:rPr>
        <w:tab/>
        <w:t>GBP/USD учурдагы курсунун өзгөрүлүшүнө байланыштуу айырма С туунду ишканасына карата чет өлкөлүк валютаны кайра эсептөө боюнча резервдин курамында таанылат,</w:t>
      </w:r>
    </w:p>
    <w:p w:rsidR="00F51E5E" w:rsidRPr="003E4EA2" w:rsidRDefault="00F51E5E" w:rsidP="003E4EA2">
      <w:pPr>
        <w:spacing w:line="240" w:lineRule="auto"/>
        <w:ind w:left="1410" w:hanging="705"/>
        <w:jc w:val="both"/>
        <w:rPr>
          <w:rFonts w:ascii="Times New Roman" w:hAnsi="Times New Roman" w:cs="Times New Roman"/>
          <w:lang w:val="kk-KZ"/>
        </w:rPr>
      </w:pPr>
      <w:r w:rsidRPr="003E4EA2">
        <w:rPr>
          <w:rFonts w:ascii="Times New Roman" w:hAnsi="Times New Roman" w:cs="Times New Roman"/>
          <w:lang w:val="kk-KZ"/>
        </w:rPr>
        <w:t>•</w:t>
      </w:r>
      <w:r w:rsidRPr="003E4EA2">
        <w:rPr>
          <w:rFonts w:ascii="Times New Roman" w:hAnsi="Times New Roman" w:cs="Times New Roman"/>
          <w:lang w:val="kk-KZ"/>
        </w:rPr>
        <w:tab/>
        <w:t xml:space="preserve">GBP/JPY учурдагы курсунун өзгөрүлүшүнө байланыштуу, еврого кайра эсептелген айырма пайданын же зыяндын курамында таанылат, жана </w:t>
      </w:r>
    </w:p>
    <w:p w:rsidR="00F51E5E" w:rsidRPr="003E4EA2" w:rsidRDefault="00F51E5E" w:rsidP="003E4EA2">
      <w:pPr>
        <w:spacing w:line="240" w:lineRule="auto"/>
        <w:ind w:left="1410" w:hanging="705"/>
        <w:jc w:val="both"/>
        <w:rPr>
          <w:rFonts w:ascii="Times New Roman" w:hAnsi="Times New Roman" w:cs="Times New Roman"/>
          <w:lang w:val="kk-KZ"/>
        </w:rPr>
      </w:pPr>
      <w:r w:rsidRPr="003E4EA2">
        <w:rPr>
          <w:rFonts w:ascii="Times New Roman" w:hAnsi="Times New Roman" w:cs="Times New Roman"/>
          <w:lang w:val="kk-KZ"/>
        </w:rPr>
        <w:t>•</w:t>
      </w:r>
      <w:r w:rsidRPr="003E4EA2">
        <w:rPr>
          <w:rFonts w:ascii="Times New Roman" w:hAnsi="Times New Roman" w:cs="Times New Roman"/>
          <w:lang w:val="kk-KZ"/>
        </w:rPr>
        <w:tab/>
        <w:t>JPY/EUR учурдагы курсунун өзгөрүлүшүнө байланыштуу айырма башка жыйынды кирешенин курамында таанылат.</w:t>
      </w:r>
    </w:p>
    <w:p w:rsidR="00F51E5E" w:rsidRPr="00A33F48" w:rsidRDefault="00F51E5E" w:rsidP="003E4EA2">
      <w:pPr>
        <w:spacing w:line="240" w:lineRule="auto"/>
        <w:ind w:left="705" w:hanging="705"/>
        <w:jc w:val="both"/>
        <w:rPr>
          <w:rFonts w:ascii="Times New Roman" w:hAnsi="Times New Roman" w:cs="Times New Roman"/>
          <w:lang w:val="kk-KZ"/>
        </w:rPr>
      </w:pPr>
      <w:r w:rsidRPr="003E4EA2">
        <w:rPr>
          <w:rFonts w:ascii="Times New Roman" w:hAnsi="Times New Roman" w:cs="Times New Roman"/>
          <w:lang w:val="kk-KZ"/>
        </w:rPr>
        <w:t>AG6</w:t>
      </w:r>
      <w:r w:rsidRPr="003E4EA2">
        <w:rPr>
          <w:rFonts w:ascii="Times New Roman" w:hAnsi="Times New Roman" w:cs="Times New Roman"/>
          <w:lang w:val="kk-KZ"/>
        </w:rPr>
        <w:tab/>
        <w:t xml:space="preserve">Башкы ишкана өзүнүн бириктирилген финансылык отчеттуулугунда EUR/USD учурдагы курсунун өзгүрүлүшүнүн тобокелдигинин да, GBP/USD учурдагы курсунун </w:t>
      </w:r>
      <w:r w:rsidRPr="003E4EA2">
        <w:rPr>
          <w:rFonts w:ascii="Times New Roman" w:hAnsi="Times New Roman" w:cs="Times New Roman"/>
          <w:lang w:val="kk-KZ"/>
        </w:rPr>
        <w:lastRenderedPageBreak/>
        <w:t xml:space="preserve">өзгөрүлүшүнүн тобокелдигин да хеджирлөө инструменти катары 300 миллион АКШ миллион доллары суммасында А туунду ишканасындагы тышкы зайымдарды өз каалоосу боюнча аныктоого укуктуу эмес. </w:t>
      </w:r>
      <w:r w:rsidRPr="00A33F48">
        <w:rPr>
          <w:rFonts w:ascii="Times New Roman" w:hAnsi="Times New Roman" w:cs="Times New Roman"/>
          <w:lang w:val="kk-KZ"/>
        </w:rPr>
        <w:t>Бир инструмент ишкананын каалоосу боюнча бир эле тобокелдикти хеджирлөө инструменти катары бир жолу гана аныкталышы мүмкүн. В туунду ишканасы өзүнүн бириктирилген финансылык отчеттуулугунда хеджирлөөнүн эсепке алынышын колдонууга укуктуу эмес, себеби хеджирлөөнүн инструменти В туунду ишканасын жана С туунду ишканасын камтыган топтун алкагынан тышкары кармалып турат.</w:t>
      </w:r>
    </w:p>
    <w:p w:rsidR="00F51E5E" w:rsidRPr="00A33F48" w:rsidRDefault="00F51E5E" w:rsidP="003E4EA2">
      <w:pPr>
        <w:spacing w:line="240" w:lineRule="auto"/>
        <w:ind w:left="705"/>
        <w:jc w:val="both"/>
        <w:rPr>
          <w:rFonts w:ascii="Times New Roman" w:hAnsi="Times New Roman" w:cs="Times New Roman"/>
          <w:b/>
          <w:sz w:val="26"/>
          <w:lang w:val="kk-KZ"/>
        </w:rPr>
      </w:pPr>
      <w:r w:rsidRPr="00A33F48">
        <w:rPr>
          <w:rFonts w:ascii="Times New Roman" w:hAnsi="Times New Roman" w:cs="Times New Roman"/>
          <w:b/>
          <w:sz w:val="26"/>
          <w:lang w:val="kk-KZ"/>
        </w:rPr>
        <w:t>Хеджирлөөнүн инструменти топтун курамына кирген кайсы ишканаларда кармалышы мүмкүн (14 жана 15-пункттар)?</w:t>
      </w:r>
    </w:p>
    <w:p w:rsidR="00F51E5E" w:rsidRPr="00A33F48" w:rsidRDefault="00F51E5E" w:rsidP="003E4EA2">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AG7</w:t>
      </w:r>
      <w:r w:rsidRPr="00A33F48">
        <w:rPr>
          <w:rFonts w:ascii="Times New Roman" w:hAnsi="Times New Roman" w:cs="Times New Roman"/>
          <w:lang w:val="kk-KZ"/>
        </w:rPr>
        <w:tab/>
        <w:t>AG5-пунктунда белгиленгендей, хеджирлөөнүн эсепке алынышынын жоктугунан, валюталык тобокелдикке карата 300 миллион АКШ доллары суммасында А туунду ишканасындагы тышкы зайымдардын наркынын жалпы өзгөрүлүшү башкы ишкананын бириктирилген отчеттуулугунда жарым-жартылай пайданын же зыяндын курамында (USD/JPY учурдагы курсунун өзгөрүлүшүнүн тобокелдиги), жарым-жартылай – башка жыйынды кирешенин курамында (EUR/JPY учурдагы курсунун өзгөрүлүшүнүн тобокелдиги) чагылдырылышы мүмкүн. AG4-пунктуна ылайык, ишкананын каалоосу боюнча аныкталган хеджирлөө мамилелеринин натыйжалуулугун баалоо максаттары үчүн белгиленген эки сумма тең эсепке алынышы керек, себеби хеджирлөө боюнча документацияга ылайык хеджирлөөнүн инструменти катары, ошондой эле хеджирлөөнүн объекти катары нарктын өзгөрүлүшү евронун – башкы ишкананын колдонуудагы валютасынын жана АКШ долларынын – С туунду ишканасынын колдонуудагы валютасынын катышынан улам эсептелинет. Консолидациялоо методун тандоо (б.а. тикелей же кадам методу) хеджирлөөнүн натыйжалуулугун баалоого таасир этпейт.</w:t>
      </w:r>
    </w:p>
    <w:p w:rsidR="00F51E5E" w:rsidRPr="00A33F48" w:rsidRDefault="00F51E5E" w:rsidP="003E4EA2">
      <w:pPr>
        <w:spacing w:line="240" w:lineRule="auto"/>
        <w:ind w:left="705"/>
        <w:jc w:val="both"/>
        <w:rPr>
          <w:rFonts w:ascii="Times New Roman" w:hAnsi="Times New Roman" w:cs="Times New Roman"/>
          <w:b/>
          <w:sz w:val="26"/>
          <w:lang w:val="kk-KZ"/>
        </w:rPr>
      </w:pPr>
      <w:r w:rsidRPr="00A33F48">
        <w:rPr>
          <w:rFonts w:ascii="Times New Roman" w:hAnsi="Times New Roman" w:cs="Times New Roman"/>
          <w:b/>
          <w:sz w:val="26"/>
          <w:lang w:val="kk-KZ"/>
        </w:rPr>
        <w:t xml:space="preserve">Чет өлкөлүк бөлүм чыгып калган учурда пайданын же зыяндын курамына кайра классификацияланган суммалар (16 жана 17-пункттар) </w:t>
      </w:r>
    </w:p>
    <w:p w:rsidR="00F51E5E" w:rsidRPr="00A33F48" w:rsidRDefault="00F51E5E" w:rsidP="003E4EA2">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AG8</w:t>
      </w:r>
      <w:r w:rsidRPr="00A33F48">
        <w:rPr>
          <w:rFonts w:ascii="Times New Roman" w:hAnsi="Times New Roman" w:cs="Times New Roman"/>
          <w:lang w:val="kk-KZ"/>
        </w:rPr>
        <w:tab/>
        <w:t>С туунду ишканасы чыгып калган учурда төмөнкүдөй суммалар башкы ишкананын бириктирилген финансылык отчеттуулугунда чет өлкөлүк валютаны кайра эсептөө боюнча резервдин (ЧВКР) курамынан пайданын же зыяндын курамына кайра классификацияланат:</w:t>
      </w:r>
    </w:p>
    <w:p w:rsidR="00F51E5E" w:rsidRPr="003E4EA2" w:rsidRDefault="00F51E5E" w:rsidP="000E6173">
      <w:pPr>
        <w:spacing w:after="0" w:line="240" w:lineRule="auto"/>
        <w:ind w:left="1410" w:hanging="705"/>
        <w:jc w:val="both"/>
        <w:rPr>
          <w:rFonts w:ascii="Times New Roman" w:hAnsi="Times New Roman" w:cs="Times New Roman"/>
          <w:lang w:val="kk-KZ"/>
        </w:rPr>
      </w:pPr>
      <w:r w:rsidRPr="003E4EA2">
        <w:rPr>
          <w:rFonts w:ascii="Times New Roman" w:hAnsi="Times New Roman" w:cs="Times New Roman"/>
          <w:lang w:val="kk-KZ"/>
        </w:rPr>
        <w:t>(a)</w:t>
      </w:r>
      <w:r w:rsidRPr="003E4EA2">
        <w:rPr>
          <w:rFonts w:ascii="Times New Roman" w:hAnsi="Times New Roman" w:cs="Times New Roman"/>
          <w:lang w:val="kk-KZ"/>
        </w:rPr>
        <w:tab/>
        <w:t>300 миллион АКШ доллары суммасында А туунду ишканасынын тышкы зайымдарына карата ФОЭС (IFRS) 9га ылайык идентификациялануучу сумма, б.а. хеджирлөөнүн натыйжалуу бөлүгү катары башка жыйынды кирешенин курамында таанылган, валюталык тобокелдикке карата нарктын жалпы өзгөрүлүшү; жана</w:t>
      </w:r>
      <w:r w:rsidRPr="003E4EA2">
        <w:rPr>
          <w:rFonts w:ascii="Times New Roman" w:hAnsi="Times New Roman" w:cs="Times New Roman"/>
          <w:lang w:val="kk-KZ"/>
        </w:rPr>
        <w:cr/>
      </w:r>
    </w:p>
    <w:p w:rsidR="00F51E5E" w:rsidRPr="00A33F48" w:rsidRDefault="00F51E5E" w:rsidP="003E4EA2">
      <w:pPr>
        <w:spacing w:before="240" w:after="0" w:line="240" w:lineRule="auto"/>
        <w:ind w:left="1410" w:hanging="705"/>
        <w:jc w:val="both"/>
        <w:rPr>
          <w:rFonts w:ascii="Times New Roman" w:hAnsi="Times New Roman" w:cs="Times New Roman"/>
          <w:lang w:val="kk-KZ"/>
        </w:rPr>
      </w:pPr>
      <w:r w:rsidRPr="003E4EA2">
        <w:rPr>
          <w:rFonts w:ascii="Times New Roman" w:hAnsi="Times New Roman" w:cs="Times New Roman"/>
          <w:lang w:val="kk-KZ"/>
        </w:rPr>
        <w:t>(b)</w:t>
      </w:r>
      <w:r w:rsidRPr="003E4EA2">
        <w:rPr>
          <w:rFonts w:ascii="Times New Roman" w:hAnsi="Times New Roman" w:cs="Times New Roman"/>
          <w:lang w:val="kk-KZ"/>
        </w:rPr>
        <w:tab/>
        <w:t xml:space="preserve">300 миллион АКШ доллары суммасында С туунду ишканасына салынган таза инвестицияларга карата, ишкана тарабынан колдонулган консолидациялоо методуна жараша аныкталган сумма. </w:t>
      </w:r>
      <w:r w:rsidRPr="00A33F48">
        <w:rPr>
          <w:rFonts w:ascii="Times New Roman" w:hAnsi="Times New Roman" w:cs="Times New Roman"/>
          <w:lang w:val="kk-KZ"/>
        </w:rPr>
        <w:t>Эгерде башкы ишкана тикелей методду колдонсо, анда анын С туунду ишканасына карата ЧВКР EUR/USD алмашуу курсунун негизинде түздөн-түз аныкталат. Эгерде башкы ишкана кадам методун колдонсо, С туунду ишканасына карата анын ЧВКР GBP/USD курсунан келип чыккан В туунду ишканасы тарабынан таанылган жана EUR/GBP  курсун колдонуу менен башкы ишкананын колдонуудагы валютасына кайра эсептелген ЧВКР көлөмүндө аныкталат. Буга чейинки мезгилдерде башкы ишкана тарабынан консолидациялоонун кадам методунун колдонулушу С туунду ишканасы чыгып калган учурда кайра классификациялана турган  ЧВКР суммасын ал эсеп саясатына жараша тикелей методун такай эле колдонсо, тааныла турган сумма катары аныктоону андан  талап кылбайт жана ага тоскоолдук түзбөйт.</w:t>
      </w:r>
    </w:p>
    <w:p w:rsidR="00F51E5E" w:rsidRPr="00A33F48" w:rsidRDefault="00F51E5E" w:rsidP="003E4EA2">
      <w:pPr>
        <w:spacing w:before="240" w:line="240" w:lineRule="auto"/>
        <w:jc w:val="both"/>
        <w:rPr>
          <w:rFonts w:ascii="Times New Roman" w:hAnsi="Times New Roman" w:cs="Times New Roman"/>
          <w:b/>
          <w:sz w:val="26"/>
          <w:lang w:val="kk-KZ"/>
        </w:rPr>
      </w:pPr>
      <w:r w:rsidRPr="00A33F48">
        <w:rPr>
          <w:rFonts w:ascii="Times New Roman" w:hAnsi="Times New Roman" w:cs="Times New Roman"/>
          <w:lang w:val="kk-KZ"/>
        </w:rPr>
        <w:t xml:space="preserve"> </w:t>
      </w:r>
      <w:r w:rsidRPr="00A33F48">
        <w:rPr>
          <w:rFonts w:ascii="Times New Roman" w:hAnsi="Times New Roman" w:cs="Times New Roman"/>
          <w:lang w:val="kk-KZ"/>
        </w:rPr>
        <w:tab/>
      </w:r>
      <w:r w:rsidRPr="00A33F48">
        <w:rPr>
          <w:rFonts w:ascii="Times New Roman" w:hAnsi="Times New Roman" w:cs="Times New Roman"/>
          <w:b/>
          <w:sz w:val="26"/>
          <w:lang w:val="kk-KZ"/>
        </w:rPr>
        <w:t xml:space="preserve">Бир нече чет өлкөлүк бөлүмдү хеджирлөө (11, 13 жана 15-пункттар) </w:t>
      </w:r>
    </w:p>
    <w:p w:rsidR="00F51E5E" w:rsidRPr="00A33F48" w:rsidRDefault="00F51E5E" w:rsidP="003E4EA2">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AG9</w:t>
      </w:r>
      <w:r w:rsidRPr="00A33F48">
        <w:rPr>
          <w:rFonts w:ascii="Times New Roman" w:hAnsi="Times New Roman" w:cs="Times New Roman"/>
          <w:lang w:val="kk-KZ"/>
        </w:rPr>
        <w:tab/>
        <w:t xml:space="preserve">Төмөнкүдөй мисалдар көрсөткөндөй, башкы ишкананын бириктирилген финансылык отчеттуулугунда хеджирлене турган тобокелдик дайыма анын колдонуудагы валютасынын </w:t>
      </w:r>
      <w:r w:rsidRPr="00A33F48">
        <w:rPr>
          <w:rFonts w:ascii="Times New Roman" w:hAnsi="Times New Roman" w:cs="Times New Roman"/>
          <w:lang w:val="kk-KZ"/>
        </w:rPr>
        <w:lastRenderedPageBreak/>
        <w:t>(евро) жана В жана С туунду ишканаларынын колдонуудагы валюталарынын ортосундагы айырмага байланыштуу тобокелдик болуп саналат. Хеджирлөө мамилелери ишкананын каалоосу боюнча кантип аныкталгандыгына карабастан, эки чет өлкөлүк бөлүм тең хеджирленсе, хеджирлөөнүн натыйжалуу мамилелеринде аныкталышы мүмкүн болгон натыйжалары башкы ишкананын бириктирилген финансылык отчеттуулугунда чет өлкөлүк валютаны кайра эсептөө резервине камтыла турган максималдуу суммалар болуп EUR/USD тобокелдигине карата 300 миллион АКШ доллары жана EUR/GBP тобокелдигине карата 341 миллион  фунт стерлинг саналат. Валюталык курстардын өзгөрүлүшүнүн натыйжасында нарктын башка өзгөрүлүштөрү башкы ишкананын бириктирилген пайдасынын же зыянынын курамына камтылат. Албетте, башкы ишкана 300 миллион АКШ долларын USD/GBP учурдагы курсунун өзгөрүшүнүн тобокелдигин гана хеджирлөө үчүн, же 500 миллион фунт стерлингди GBP/EUR учурдагы курсунун өзгөрүлүшүнүн тобокелдигин гана хеджирлөө үчүн өз каалоосу боюнча аныкташы мүмкүн.</w:t>
      </w:r>
    </w:p>
    <w:p w:rsidR="00F51E5E" w:rsidRPr="00A33F48" w:rsidRDefault="00F51E5E" w:rsidP="003E4EA2">
      <w:pPr>
        <w:spacing w:line="240" w:lineRule="auto"/>
        <w:ind w:left="705"/>
        <w:jc w:val="both"/>
        <w:rPr>
          <w:rFonts w:ascii="Times New Roman" w:hAnsi="Times New Roman" w:cs="Times New Roman"/>
          <w:b/>
          <w:sz w:val="24"/>
          <w:lang w:val="kk-KZ"/>
        </w:rPr>
      </w:pPr>
      <w:r w:rsidRPr="00A33F48">
        <w:rPr>
          <w:rFonts w:ascii="Times New Roman" w:hAnsi="Times New Roman" w:cs="Times New Roman"/>
          <w:b/>
          <w:sz w:val="24"/>
          <w:lang w:val="kk-KZ"/>
        </w:rPr>
        <w:t xml:space="preserve">Башкы ишкана USD курсунун, ошондой эле GBP курсунун </w:t>
      </w:r>
      <w:r w:rsidR="00972DAE" w:rsidRPr="00A33F48">
        <w:rPr>
          <w:rFonts w:ascii="Times New Roman" w:hAnsi="Times New Roman" w:cs="Times New Roman"/>
          <w:b/>
          <w:sz w:val="24"/>
          <w:lang w:val="kk-KZ"/>
        </w:rPr>
        <w:t xml:space="preserve">өзгөрүлүшүнүн тобокелдигин </w:t>
      </w:r>
      <w:r w:rsidRPr="00A33F48">
        <w:rPr>
          <w:rFonts w:ascii="Times New Roman" w:hAnsi="Times New Roman" w:cs="Times New Roman"/>
          <w:b/>
          <w:sz w:val="24"/>
          <w:lang w:val="kk-KZ"/>
        </w:rPr>
        <w:t xml:space="preserve">хеджирлөө инструменттерин кармап турат </w:t>
      </w:r>
    </w:p>
    <w:p w:rsidR="00F51E5E" w:rsidRPr="00A33F48" w:rsidRDefault="00F51E5E" w:rsidP="003E4EA2">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AG10</w:t>
      </w:r>
      <w:r w:rsidRPr="00A33F48">
        <w:rPr>
          <w:rFonts w:ascii="Times New Roman" w:hAnsi="Times New Roman" w:cs="Times New Roman"/>
          <w:lang w:val="kk-KZ"/>
        </w:rPr>
        <w:tab/>
        <w:t>Башкы ишкана В туунду ишканасына да, С туунду ишканасына да өзүнүн таза инвестицияларына карата валюталык тобокелдикти хеджирлөөнү каалашы мүмкүн. Башкы ишкана В туунду ишканасына жана С туунду ишканасына өзүнүн таза инвестицияларын хеджирлөө инструменттери катары өз каалоосу боюнча аныктай алган, АКШ доллары жана фунт стерлинг менен көрсөтүлгөн ылайыктуу инструменттерди кармап турат деп болжолдойлу. Башкы ишкана өзүнүн бириктирилген финансылык отчеттуулугунда өз каалоосу боюнча аныктай ала турган хеджирлөө мамилелеринин варианттары төмөнкүлөрдү камтыйт, бирок алар менен гана чектелбейт:</w:t>
      </w:r>
    </w:p>
    <w:p w:rsidR="00F51E5E" w:rsidRPr="00A33F48" w:rsidRDefault="00F51E5E" w:rsidP="003E4EA2">
      <w:pPr>
        <w:spacing w:line="240" w:lineRule="auto"/>
        <w:ind w:left="1416" w:hanging="705"/>
        <w:jc w:val="both"/>
        <w:rPr>
          <w:rFonts w:ascii="Times New Roman" w:hAnsi="Times New Roman" w:cs="Times New Roman"/>
          <w:lang w:val="kk-KZ"/>
        </w:rPr>
      </w:pPr>
      <w:r w:rsidRPr="003E4EA2">
        <w:rPr>
          <w:rFonts w:ascii="Times New Roman" w:hAnsi="Times New Roman" w:cs="Times New Roman"/>
          <w:lang w:val="kk-KZ"/>
        </w:rPr>
        <w:t>(a)</w:t>
      </w:r>
      <w:r w:rsidRPr="003E4EA2">
        <w:rPr>
          <w:rFonts w:ascii="Times New Roman" w:hAnsi="Times New Roman" w:cs="Times New Roman"/>
          <w:lang w:val="kk-KZ"/>
        </w:rPr>
        <w:tab/>
        <w:t xml:space="preserve">300 миллион АКШ доллары суммасындагы инструмент ишкананын каалоосу боюнча 300 миллион суммасында С туунду ишканасына салынган таза инвестицияны хеджирлөө инструменти катары аныкталышы мүмкүн; мында хеджирленген тобокелдик катары башкы ишкананын жана С туунду ишканасынын колдонуудагы валюталарынын (EUR/USD) ортосундагы учурдагы курстун өзгөрүшүнүн тобокелдиги аныкталышы мүмкүн. </w:t>
      </w:r>
      <w:r w:rsidRPr="00A33F48">
        <w:rPr>
          <w:rFonts w:ascii="Times New Roman" w:hAnsi="Times New Roman" w:cs="Times New Roman"/>
          <w:lang w:val="kk-KZ"/>
        </w:rPr>
        <w:t>Ошол эле убакта ишкана өз каалоосу боюнча 341 миллион фунт стерлинг суммасындагы инструментти 341 миллион фунт стерлинг суммасында В туунду ишканасына таза инвестицияларды хеджирлөө инструменти катары аныкташы мүмкүн; мында хеджирленген тобокелдик катары башкы ишкананын жана В туунду ишканасынын колдонуудагы валюталарынын (EUR/GBP) ортосундагы учурдагы курстун өзгөрүшүнүн тобокелдиги аныкталат.</w:t>
      </w:r>
    </w:p>
    <w:p w:rsidR="00F51E5E" w:rsidRPr="00A33F48" w:rsidRDefault="00F51E5E" w:rsidP="003E4EA2">
      <w:pPr>
        <w:spacing w:line="240" w:lineRule="auto"/>
        <w:ind w:left="1413" w:hanging="705"/>
        <w:jc w:val="both"/>
        <w:rPr>
          <w:rFonts w:ascii="Times New Roman" w:hAnsi="Times New Roman" w:cs="Times New Roman"/>
          <w:lang w:val="kk-KZ"/>
        </w:rPr>
      </w:pPr>
      <w:r w:rsidRPr="003E4EA2">
        <w:rPr>
          <w:rFonts w:ascii="Times New Roman" w:hAnsi="Times New Roman" w:cs="Times New Roman"/>
          <w:lang w:val="kk-KZ"/>
        </w:rPr>
        <w:t>(b)</w:t>
      </w:r>
      <w:r w:rsidRPr="003E4EA2">
        <w:rPr>
          <w:rFonts w:ascii="Times New Roman" w:hAnsi="Times New Roman" w:cs="Times New Roman"/>
          <w:lang w:val="kk-KZ"/>
        </w:rPr>
        <w:tab/>
        <w:t xml:space="preserve">300 миллион АКШ доллары суммасындагы инструмент ишкананын каалоосу боюнча 300 миллион АКШ доллары суммасында С туунду ишканасына таза инвестицияларды хеджирлөө инструменти катары аныкталышы мүмкүн; мында хеджирленген тобокелдик катары В туунду ишканасынын жана С туунду ишканасынын колдонуудагы валюталарынын (GBP/USD) ортосундагы учурдагы курстун өзгөрүшүнүн тобокелдиги аныкталышы мүмкүн. </w:t>
      </w:r>
      <w:r w:rsidRPr="00A33F48">
        <w:rPr>
          <w:rFonts w:ascii="Times New Roman" w:hAnsi="Times New Roman" w:cs="Times New Roman"/>
          <w:lang w:val="kk-KZ"/>
        </w:rPr>
        <w:t>Ошол эле убакта ишкана өз каалоосу боюнча 500 миллион фунт стерлинг суммасындагы инструментти 500 миллион фунт стерлинг суммасында В туунду ишканасына салынган таза инвестицияларды хеджирлөө инструменти катары аныкташы мүмкүн; мында хеджирленген тобокелдик катары башкы ишкананын жана В туунду ишканасынын колдонуудагы валюталарынын (EUR/GBP) ортосундагы учурдагы курсунун өзгөрүшүнүн тобокелдиги аныкталат.</w:t>
      </w:r>
    </w:p>
    <w:p w:rsidR="00F51E5E" w:rsidRPr="00A33F48" w:rsidRDefault="00F51E5E" w:rsidP="003E4EA2">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AG11</w:t>
      </w:r>
      <w:r w:rsidRPr="00A33F48">
        <w:rPr>
          <w:rFonts w:ascii="Times New Roman" w:hAnsi="Times New Roman" w:cs="Times New Roman"/>
          <w:lang w:val="kk-KZ"/>
        </w:rPr>
        <w:tab/>
        <w:t xml:space="preserve">Башкы ишкананын С туунду ишканасына салынган таза инвестициясына карата пайда болгон EUR/USD тобокелдиги башкы ишкананын В туунду ишканасына салынган таза инвестициясына карата пайда болгон EUR/GBP тобокелдигинен айырмаланат. Бирок AG10(a)-пунктунда сыпатталган учурда кармалып турган, USD менен көрсөтүлгөн хеджирлөө инструментин өз каалоосу боюнча аныктоо аркылуу башкы ишкана С туунду ишканасына салынган өзүнүн таза инвестициясына карата пайда болгон EUR/USD </w:t>
      </w:r>
      <w:r w:rsidRPr="00A33F48">
        <w:rPr>
          <w:rFonts w:ascii="Times New Roman" w:hAnsi="Times New Roman" w:cs="Times New Roman"/>
          <w:lang w:val="kk-KZ"/>
        </w:rPr>
        <w:lastRenderedPageBreak/>
        <w:t>тобокелдигин толугу менен хеджирлеген. Эгерде башкы ишкана ушундай эле ал тараптан кармалып турган, GBP менен көрсөтүлгөн инструментти 500 миллион фунт стерлинг суммасында В туунду ишканасына өзүнүн таза инвестициясын хеджирлөө катары өз каалоосу боюнча аныктаса, С туунду ишканасына салынган анын таза инвестициясынын GBP менен эквивалентин билдирген 159 миллион фунт стерлинг өлчөмүндөгү белгиленген таза инвестициянын бир бөлүгү башкы ишкананын бириктирилген финансылык отчеттуулугунда GBP/EUR тобокелдигине карата эки жолу хеджирленмек.</w:t>
      </w:r>
    </w:p>
    <w:p w:rsidR="00F51E5E" w:rsidRPr="00A33F48" w:rsidRDefault="00F51E5E" w:rsidP="00972DAE">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AG12</w:t>
      </w:r>
      <w:r w:rsidRPr="00A33F48">
        <w:rPr>
          <w:rFonts w:ascii="Times New Roman" w:hAnsi="Times New Roman" w:cs="Times New Roman"/>
          <w:lang w:val="kk-KZ"/>
        </w:rPr>
        <w:tab/>
        <w:t>AG10(b)-пунктунда сыпатталган учурда, эгерде башкы ишкана өз каалоосу боюнча хеджирленген тобокелдик катары В туунду ишканасынын жана С туунду ишканасынын колдонуудагы валюталарынын (GBP/USD) ортосундагы учурдагы курстун өзгөрүшүнүн тобокелдигин аныктаса, GBP/USD курсунун өзгөрүшүнө таандык 300 миллион АКШ доллары суммасына анын хеджирлөө инструментинин наркынын бир бөлүгү гана С туунду ишканасына карата башкы ишкананын чет өлкөлүк валютаны кайра эсептөө резервине камтылат. Ушул өзгөрүүнүн калган бөлүгү (159 миллион фунт стерлинг суммасында GBP/EUR курсунун өзгөрүлүшүнүн таасирине эквиваленттүү) AG5-пунктуна ылайык башкы ишкананын бириктирилген пайдасынын же зыянынын курамына камтылат. ишкананын каалоосу боюнча аныкталган В жана С туунду ишканаларынын колдонуудагы валюталарынын ортосундагы USD/GBP курсунун өзгөрүлүшүнүн тобокелдигин камтыбагандыктан, башкы ишкана ошондой эле өзүнүн каалоосу боюнча хеджирлөө объекти катары 500 миллион фунт стерлинг суммасында В туунду ишканасына өзүнүн таза инвестициясын аныкташы мүмкүн; мында хеджирленген тобокелдик катары башкы ишкананын жана В туунду ишканасынын колдонуудагы валюталарынын (GBP/EUR) ортосундагы учурдагы курсунун өзгөрүлүшүнүн тобокелдиги аныкталат.</w:t>
      </w:r>
    </w:p>
    <w:p w:rsidR="00F51E5E" w:rsidRPr="00A33F48" w:rsidRDefault="00F51E5E" w:rsidP="00972DAE">
      <w:pPr>
        <w:spacing w:line="240" w:lineRule="auto"/>
        <w:ind w:left="705"/>
        <w:jc w:val="both"/>
        <w:rPr>
          <w:rFonts w:ascii="Times New Roman" w:hAnsi="Times New Roman" w:cs="Times New Roman"/>
          <w:b/>
          <w:sz w:val="24"/>
          <w:lang w:val="kk-KZ"/>
        </w:rPr>
      </w:pPr>
      <w:r w:rsidRPr="00A33F48">
        <w:rPr>
          <w:rFonts w:ascii="Times New Roman" w:hAnsi="Times New Roman" w:cs="Times New Roman"/>
          <w:b/>
          <w:sz w:val="24"/>
          <w:lang w:val="kk-KZ"/>
        </w:rPr>
        <w:t xml:space="preserve">В туунду ишканасы USD курсунун өзгөрүлүшүнүн тобокелдигин хеджирлөө инструментин кармап турат </w:t>
      </w:r>
    </w:p>
    <w:p w:rsidR="00F51E5E" w:rsidRPr="00A33F48" w:rsidRDefault="00F51E5E" w:rsidP="00972DAE">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AG13</w:t>
      </w:r>
      <w:r w:rsidRPr="00A33F48">
        <w:rPr>
          <w:rFonts w:ascii="Times New Roman" w:hAnsi="Times New Roman" w:cs="Times New Roman"/>
          <w:lang w:val="kk-KZ"/>
        </w:rPr>
        <w:tab/>
        <w:t>В туунду ишканасынын түшүүлөрү фунт стерлинг менен көрсөтүлгөн ички топтук зайым катары башкы ишканага берилген 300 миллион АКШ доллары суммасындагы тышкы карызы бар деп болжолдойлу. Бул активдер В туунду ишканасынын милдеттериндей эле 159 миллион фунт стерлингге көбөйгөндүктөн, анын таза активдери өзгөрүлгөн эмес. В туунду ишканасы өзүнүн бириктирилген финансылык отчеттуулугунда өз каалоосу боюнча тышкы карызды С туунду ишканасына өзүнүн таза инвестициясы боюнча GBP/USD курсунун өзгөрүшүнүн тобокелдигин хеджирлөө инструменти катары аныкташы мүмкүн. Башкы ишкана белгиленген инструменттин аныкталышын В туунду ишканасы тарабынан жасалган, 300 миллион АКШ доллары суммасында С туунду ишканасына салынган өзүнүн таза инвестициясы боюнча GBP/USD курсунун өзгөрүлүшүнүн тобокелдигин хеджирлөө инструменти инструменти катары сакташы мүмкүн (13-пунктту кара); мында башкы ишкана ошондой эле өз каалоосу боюнча GBP  менен көрсөтүлгөн ал тараптан кармалып турган инструментти 500 миллион стерлинг түзгөн В туунду ишканасына салынган өзүнүн бардык таза инвестициясын хеджирлөө инструменти катары аныкташы мүмкүн. В туунду ишканасынын каалоосу боюнча аныкталган хеджирлөөнүн биринчи белгиленген мамилелери В туунду ишканасынын колдонуудагы валютасына карата колдонулуп, бааланат (фунт стерлинг), ал эми башкы ишкананын каалоосу боюнча аныкталган хеджирлөөнүн экинчи мамилелери башкы ишкананын колдонуудагы валютасына карата колдонулуп, бааланат (евро). Мындай учурда башкы ишкананын бириктирилген финансылык отчеттуулугундагы USD менен көрсөтүлгөн хеджирлөө инструменти EUR/USD курсунун өзгөрүлүшүнүн бардык тобокелдигин эмес, башкы ишкананын С туунду ишканасына салынган таза инвестициясына байланыштуу GBP/USD курсунун өзгөрүлүшүнүн тобокелдигин гана хеджирлейт. Мындан улам, башкы ишкананын бириктирилген финансылык отчеттуулугунда 500 миллион фунт стерлинг суммасына башкы ишкананын В туунду ишканасына салынган таза инвестициясына байланыштуу  EUR/GBP курсунун өзгөрүлүшүнүн бардык тобокелдиги хеджирлениши мүмкүн.</w:t>
      </w:r>
    </w:p>
    <w:p w:rsidR="00F51E5E" w:rsidRPr="00A33F48" w:rsidRDefault="00F51E5E" w:rsidP="00972DAE">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AG14</w:t>
      </w:r>
      <w:r w:rsidRPr="00A33F48">
        <w:rPr>
          <w:rFonts w:ascii="Times New Roman" w:hAnsi="Times New Roman" w:cs="Times New Roman"/>
          <w:lang w:val="kk-KZ"/>
        </w:rPr>
        <w:tab/>
        <w:t xml:space="preserve"> Бирок В туунду ишканасына төлөнүүгө тийиш болгон башкы ишкананын 159 миллион фунт стерлинг өлчөмүндөгү зайымынын эсепке алынышын да карап чыгуу керек. Башкы ишкана тарабынан төлөнүүгө тийиш болгон зайым В туунду ишканасына салынган анын </w:t>
      </w:r>
      <w:r w:rsidRPr="00A33F48">
        <w:rPr>
          <w:rFonts w:ascii="Times New Roman" w:hAnsi="Times New Roman" w:cs="Times New Roman"/>
          <w:lang w:val="kk-KZ"/>
        </w:rPr>
        <w:lastRenderedPageBreak/>
        <w:t>таза инвестициясынын бир бөлүгү катары ал ФОЭС(IAS) 21дин 15-пунктуна ылайык келбегендиктен каралбаса, аны кайра эсептөөдө пайда болгон GBP/EUR  курсунун өзгөрүлүшүнөн пайда болгон курстук айырма башкы ишкананын бириктирилген пайдасына же зыянына камтылат. В туунду ишканасына төлөнүүгө тийиш болгон 159 миллион фунт стерлинг өлчөмүндөгү зайым башкы ишкананын таза инвестициясынын бир бөлүгү катары каралса, белгиленген таза инвестиция 341 миллион стерлингди гана түзөт, жана башкы ишкана GBP/EUR курсунун өзгөрүлүшүнүн тобокелдигине карата хеджирлөөнүн объекти катары өз каалоосу боюнча аныктай алган сумма буга ылайык 500 миллион фунт стерлингден 341 миллион фунт стерлингге чейин азаят.</w:t>
      </w:r>
    </w:p>
    <w:p w:rsidR="00F51E5E" w:rsidRPr="00A33F48" w:rsidRDefault="00F51E5E" w:rsidP="00972DAE">
      <w:pPr>
        <w:spacing w:line="240" w:lineRule="auto"/>
        <w:ind w:left="705" w:hanging="705"/>
        <w:jc w:val="both"/>
        <w:rPr>
          <w:rFonts w:ascii="Times New Roman" w:hAnsi="Times New Roman" w:cs="Times New Roman"/>
          <w:lang w:val="kk-KZ"/>
        </w:rPr>
      </w:pPr>
      <w:r w:rsidRPr="00A33F48">
        <w:rPr>
          <w:rFonts w:ascii="Times New Roman" w:hAnsi="Times New Roman" w:cs="Times New Roman"/>
          <w:lang w:val="kk-KZ"/>
        </w:rPr>
        <w:t>AG15</w:t>
      </w:r>
      <w:r w:rsidRPr="00A33F48">
        <w:rPr>
          <w:rFonts w:ascii="Times New Roman" w:hAnsi="Times New Roman" w:cs="Times New Roman"/>
          <w:lang w:val="kk-KZ"/>
        </w:rPr>
        <w:tab/>
        <w:t>Эгерде башкы ишкана В туунду ишканасынын өз каалоосу боюнча аныкталган хеджирлөөнүн мамилелерин сактабаса, анда башкы ишкана өз каалоосу боюнча В туунду ишканасынын тышкы зайымдарын EUR/USD курсунун өзгөрүлүшүнүн тобокелдигине карата 300 миллион АКШ доллары суммасына С туунду ишканасына өзүнүн таза инвестициясын хеджирлөө инструменти катары 300 миллион АКШ доллары суммасында аныкташы мүмкүн жана ошол эле убакта өз каалоосу боюнча GBP менен көрсөтүлгөн ал өзү кармап турган инструментти 341 миллион фунт стерлинг суммасында гана В туунду ишканасына салынган таза инвестицияны хеджирлөө инструменти катары аныкташы мүмкүн. Мындай учурда хеджирлөөнүн эки катышынын тең натыйжалуулугу башкы ишкананын колдонуудагы валютасына (евро) карата колдонулуп, эсептелет. Мындан улам, башкы ишкананын бириктирилген финансылык отчеттуулугунда чет өлкөлүк валютаны кайра эсептөө резервине USD/GBP курсунун өзгөрүлүшүнө байланыштуу В туунду ишканасынын тышкы зайымдарынын наркынын өзгөрүлүшү да, GBP/EUR курсунун өзгөрүлүшүнө байланыштуу В туунду ишканасына төлөнүүгө жаткан башкы ишкананын зайымынын наркынын өзгөрүлүшү да камтылат (ушул эки көлөмдүн суммасы USD/EUR курсунун өзгөрүлүшүнө байланыштуу нарктын өзгөрүлүшүнө эквиваленттүү). Башкы ишкана С туунду ишканасына салынган анын таза инвестициясына байланыштуу пайда болгон EUR/USD тобокелдигин толугу менен хеджирлегендиктен, ал В туунду ишканасына салынган өзүнүн таза инвестициясына карата EUR/GBP курсунун өзгөрүшүнүн тобокелдигин 341 миллион фунт стерлингге чейинки суммада гана хеджирлей алат.</w:t>
      </w:r>
    </w:p>
    <w:p w:rsidR="00F51E5E" w:rsidRPr="00A33F48" w:rsidRDefault="00F51E5E" w:rsidP="002801F8">
      <w:pPr>
        <w:spacing w:line="240" w:lineRule="auto"/>
        <w:jc w:val="both"/>
        <w:rPr>
          <w:rFonts w:ascii="Times New Roman" w:hAnsi="Times New Roman" w:cs="Times New Roman"/>
          <w:lang w:val="kk-KZ"/>
        </w:rPr>
      </w:pPr>
      <w:r w:rsidRPr="00A33F48">
        <w:rPr>
          <w:rFonts w:ascii="Times New Roman" w:hAnsi="Times New Roman" w:cs="Times New Roman"/>
          <w:lang w:val="kk-KZ"/>
        </w:rPr>
        <w:t xml:space="preserve"> </w:t>
      </w:r>
      <w:r w:rsidRPr="00A33F48">
        <w:rPr>
          <w:rFonts w:ascii="Times New Roman" w:hAnsi="Times New Roman" w:cs="Times New Roman"/>
          <w:lang w:val="kk-KZ"/>
        </w:rPr>
        <w:tab/>
        <w:t xml:space="preserve"> </w:t>
      </w:r>
    </w:p>
    <w:p w:rsidR="0038575D" w:rsidRPr="00A33F48" w:rsidRDefault="0038575D" w:rsidP="002801F8">
      <w:pPr>
        <w:spacing w:line="240" w:lineRule="auto"/>
        <w:jc w:val="both"/>
        <w:rPr>
          <w:rFonts w:ascii="Times New Roman" w:hAnsi="Times New Roman" w:cs="Times New Roman"/>
          <w:lang w:val="kk-KZ"/>
        </w:rPr>
      </w:pPr>
    </w:p>
    <w:sectPr w:rsidR="0038575D" w:rsidRPr="00A33F4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38" w:rsidRDefault="00110538" w:rsidP="002801F8">
      <w:pPr>
        <w:spacing w:after="0" w:line="240" w:lineRule="auto"/>
      </w:pPr>
      <w:r>
        <w:separator/>
      </w:r>
    </w:p>
  </w:endnote>
  <w:endnote w:type="continuationSeparator" w:id="0">
    <w:p w:rsidR="00110538" w:rsidRDefault="00110538" w:rsidP="0028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1BD" w:rsidRDefault="004901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AE" w:rsidRPr="00972DAE" w:rsidRDefault="004901BD" w:rsidP="00972DAE">
    <w:pPr>
      <w:pStyle w:val="a8"/>
      <w:jc w:val="center"/>
      <w:rPr>
        <w:lang w:val="kk-KZ"/>
      </w:rPr>
    </w:pPr>
    <w:r>
      <w:t xml:space="preserve">© IFRS </w:t>
    </w:r>
    <w:proofErr w:type="spellStart"/>
    <w:r>
      <w:t>Foundation</w:t>
    </w:r>
    <w:bookmarkStart w:id="0" w:name="_GoBack"/>
    <w:bookmarkEnd w:id="0"/>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1BD" w:rsidRDefault="004901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38" w:rsidRDefault="00110538" w:rsidP="002801F8">
      <w:pPr>
        <w:spacing w:after="0" w:line="240" w:lineRule="auto"/>
      </w:pPr>
      <w:r>
        <w:separator/>
      </w:r>
    </w:p>
  </w:footnote>
  <w:footnote w:type="continuationSeparator" w:id="0">
    <w:p w:rsidR="00110538" w:rsidRDefault="00110538" w:rsidP="002801F8">
      <w:pPr>
        <w:spacing w:after="0" w:line="240" w:lineRule="auto"/>
      </w:pPr>
      <w:r>
        <w:continuationSeparator/>
      </w:r>
    </w:p>
  </w:footnote>
  <w:footnote w:id="1">
    <w:p w:rsidR="002801F8" w:rsidRDefault="002801F8" w:rsidP="002801F8">
      <w:pPr>
        <w:pStyle w:val="a4"/>
      </w:pPr>
      <w:r>
        <w:rPr>
          <w:rStyle w:val="a3"/>
        </w:rPr>
        <w:footnoteRef/>
      </w:r>
      <w:r>
        <w:tab/>
      </w:r>
      <w:proofErr w:type="spellStart"/>
      <w:r w:rsidR="005133CB" w:rsidRPr="005133CB">
        <w:t>Бириктирилген</w:t>
      </w:r>
      <w:proofErr w:type="spellEnd"/>
      <w:r w:rsidR="005133CB" w:rsidRPr="005133CB">
        <w:t xml:space="preserve"> </w:t>
      </w:r>
      <w:proofErr w:type="spellStart"/>
      <w:r w:rsidR="005133CB" w:rsidRPr="005133CB">
        <w:t>финансылык</w:t>
      </w:r>
      <w:proofErr w:type="spellEnd"/>
      <w:r w:rsidR="005133CB" w:rsidRPr="005133CB">
        <w:t xml:space="preserve"> </w:t>
      </w:r>
      <w:proofErr w:type="spellStart"/>
      <w:r w:rsidR="005133CB" w:rsidRPr="005133CB">
        <w:t>отчеттуулук</w:t>
      </w:r>
      <w:proofErr w:type="spellEnd"/>
      <w:r w:rsidR="005133CB" w:rsidRPr="005133CB">
        <w:t xml:space="preserve">, </w:t>
      </w:r>
      <w:proofErr w:type="spellStart"/>
      <w:r w:rsidR="005133CB" w:rsidRPr="005133CB">
        <w:t>ассоциацияланган</w:t>
      </w:r>
      <w:proofErr w:type="spellEnd"/>
      <w:r w:rsidR="005133CB" w:rsidRPr="005133CB">
        <w:t xml:space="preserve"> </w:t>
      </w:r>
      <w:proofErr w:type="spellStart"/>
      <w:r w:rsidR="005133CB" w:rsidRPr="005133CB">
        <w:t>ишканаларга</w:t>
      </w:r>
      <w:proofErr w:type="spellEnd"/>
      <w:r w:rsidR="005133CB" w:rsidRPr="005133CB">
        <w:t xml:space="preserve"> </w:t>
      </w:r>
      <w:proofErr w:type="spellStart"/>
      <w:r w:rsidR="005133CB" w:rsidRPr="005133CB">
        <w:t>же</w:t>
      </w:r>
      <w:proofErr w:type="spellEnd"/>
      <w:r w:rsidR="005133CB" w:rsidRPr="005133CB">
        <w:t xml:space="preserve"> </w:t>
      </w:r>
      <w:proofErr w:type="spellStart"/>
      <w:r w:rsidR="005133CB" w:rsidRPr="005133CB">
        <w:t>биргелешкен</w:t>
      </w:r>
      <w:proofErr w:type="spellEnd"/>
      <w:r w:rsidR="005133CB" w:rsidRPr="005133CB">
        <w:t xml:space="preserve"> </w:t>
      </w:r>
      <w:proofErr w:type="spellStart"/>
      <w:r w:rsidR="005133CB" w:rsidRPr="005133CB">
        <w:t>ишканаларга</w:t>
      </w:r>
      <w:proofErr w:type="spellEnd"/>
      <w:r w:rsidR="005133CB" w:rsidRPr="005133CB">
        <w:t xml:space="preserve"> </w:t>
      </w:r>
      <w:proofErr w:type="spellStart"/>
      <w:r w:rsidR="005133CB" w:rsidRPr="005133CB">
        <w:t>инвестициялар</w:t>
      </w:r>
      <w:proofErr w:type="spellEnd"/>
      <w:r w:rsidR="005133CB" w:rsidRPr="005133CB">
        <w:t xml:space="preserve"> </w:t>
      </w:r>
      <w:proofErr w:type="spellStart"/>
      <w:r w:rsidR="005133CB" w:rsidRPr="005133CB">
        <w:t>сыяктуу</w:t>
      </w:r>
      <w:proofErr w:type="spellEnd"/>
      <w:r w:rsidR="005133CB" w:rsidRPr="005133CB">
        <w:t xml:space="preserve"> </w:t>
      </w:r>
      <w:proofErr w:type="spellStart"/>
      <w:r w:rsidR="005133CB" w:rsidRPr="005133CB">
        <w:t>инвестициялардын</w:t>
      </w:r>
      <w:proofErr w:type="spellEnd"/>
      <w:r w:rsidR="005133CB" w:rsidRPr="005133CB">
        <w:t xml:space="preserve"> </w:t>
      </w:r>
      <w:proofErr w:type="spellStart"/>
      <w:r w:rsidR="005133CB" w:rsidRPr="005133CB">
        <w:t>объекттери</w:t>
      </w:r>
      <w:proofErr w:type="spellEnd"/>
      <w:r w:rsidR="005133CB" w:rsidRPr="005133CB">
        <w:t xml:space="preserve"> </w:t>
      </w:r>
      <w:proofErr w:type="spellStart"/>
      <w:r w:rsidR="005133CB" w:rsidRPr="005133CB">
        <w:t>үлүштүк</w:t>
      </w:r>
      <w:proofErr w:type="spellEnd"/>
      <w:r w:rsidR="005133CB" w:rsidRPr="005133CB">
        <w:t xml:space="preserve"> </w:t>
      </w:r>
      <w:proofErr w:type="spellStart"/>
      <w:r w:rsidR="005133CB" w:rsidRPr="005133CB">
        <w:t>катышуу</w:t>
      </w:r>
      <w:proofErr w:type="spellEnd"/>
      <w:r w:rsidR="005133CB" w:rsidRPr="005133CB">
        <w:t xml:space="preserve"> </w:t>
      </w:r>
      <w:proofErr w:type="spellStart"/>
      <w:r w:rsidR="005133CB" w:rsidRPr="005133CB">
        <w:t>методу</w:t>
      </w:r>
      <w:proofErr w:type="spellEnd"/>
      <w:r w:rsidR="005133CB" w:rsidRPr="005133CB">
        <w:t xml:space="preserve"> </w:t>
      </w:r>
      <w:proofErr w:type="spellStart"/>
      <w:r w:rsidR="005133CB" w:rsidRPr="005133CB">
        <w:t>боюнча</w:t>
      </w:r>
      <w:proofErr w:type="spellEnd"/>
      <w:r w:rsidR="005133CB" w:rsidRPr="005133CB">
        <w:t xml:space="preserve"> </w:t>
      </w:r>
      <w:proofErr w:type="spellStart"/>
      <w:r w:rsidR="005133CB" w:rsidRPr="005133CB">
        <w:t>эсепке</w:t>
      </w:r>
      <w:proofErr w:type="spellEnd"/>
      <w:r w:rsidR="005133CB" w:rsidRPr="005133CB">
        <w:t xml:space="preserve"> </w:t>
      </w:r>
      <w:proofErr w:type="spellStart"/>
      <w:r w:rsidR="005133CB" w:rsidRPr="005133CB">
        <w:t>алынган</w:t>
      </w:r>
      <w:proofErr w:type="spellEnd"/>
      <w:r w:rsidR="005133CB" w:rsidRPr="005133CB">
        <w:t xml:space="preserve"> </w:t>
      </w:r>
      <w:proofErr w:type="spellStart"/>
      <w:r w:rsidR="005133CB" w:rsidRPr="005133CB">
        <w:t>финансылык</w:t>
      </w:r>
      <w:proofErr w:type="spellEnd"/>
      <w:r w:rsidR="005133CB" w:rsidRPr="005133CB">
        <w:t xml:space="preserve"> </w:t>
      </w:r>
      <w:proofErr w:type="spellStart"/>
      <w:r w:rsidR="005133CB" w:rsidRPr="005133CB">
        <w:t>отчеттуулук</w:t>
      </w:r>
      <w:proofErr w:type="spellEnd"/>
      <w:r w:rsidR="005133CB" w:rsidRPr="005133CB">
        <w:t xml:space="preserve">, </w:t>
      </w:r>
      <w:proofErr w:type="spellStart"/>
      <w:r w:rsidR="005133CB" w:rsidRPr="005133CB">
        <w:t>ошондой</w:t>
      </w:r>
      <w:proofErr w:type="spellEnd"/>
      <w:r w:rsidR="005133CB" w:rsidRPr="005133CB">
        <w:t xml:space="preserve"> </w:t>
      </w:r>
      <w:proofErr w:type="spellStart"/>
      <w:r w:rsidR="005133CB" w:rsidRPr="005133CB">
        <w:t>эле</w:t>
      </w:r>
      <w:proofErr w:type="spellEnd"/>
      <w:r w:rsidR="005133CB" w:rsidRPr="005133CB">
        <w:t xml:space="preserve"> </w:t>
      </w:r>
      <w:r w:rsidR="005133CB">
        <w:rPr>
          <w:i/>
        </w:rPr>
        <w:t>«</w:t>
      </w:r>
      <w:proofErr w:type="spellStart"/>
      <w:r w:rsidR="005133CB">
        <w:rPr>
          <w:i/>
        </w:rPr>
        <w:t>Биргелешкен</w:t>
      </w:r>
      <w:proofErr w:type="spellEnd"/>
      <w:r w:rsidR="005133CB">
        <w:rPr>
          <w:i/>
        </w:rPr>
        <w:t xml:space="preserve"> </w:t>
      </w:r>
      <w:proofErr w:type="spellStart"/>
      <w:r w:rsidR="005133CB">
        <w:rPr>
          <w:i/>
        </w:rPr>
        <w:t>ишкерд</w:t>
      </w:r>
      <w:proofErr w:type="spellEnd"/>
      <w:r w:rsidR="005133CB">
        <w:rPr>
          <w:i/>
          <w:lang w:val="kk-KZ"/>
        </w:rPr>
        <w:t xml:space="preserve">ик» </w:t>
      </w:r>
      <w:r w:rsidR="005133CB" w:rsidRPr="005133CB">
        <w:t xml:space="preserve">ФОЭС (IFRS) 11ге  </w:t>
      </w:r>
      <w:proofErr w:type="spellStart"/>
      <w:r w:rsidR="005133CB" w:rsidRPr="005133CB">
        <w:t>ылайык</w:t>
      </w:r>
      <w:proofErr w:type="spellEnd"/>
      <w:r w:rsidR="005133CB" w:rsidRPr="005133CB">
        <w:t xml:space="preserve"> </w:t>
      </w:r>
      <w:proofErr w:type="spellStart"/>
      <w:r w:rsidR="005133CB" w:rsidRPr="005133CB">
        <w:t>аныкталгандай</w:t>
      </w:r>
      <w:proofErr w:type="spellEnd"/>
      <w:r w:rsidR="005133CB" w:rsidRPr="005133CB">
        <w:t xml:space="preserve">, </w:t>
      </w:r>
      <w:proofErr w:type="spellStart"/>
      <w:r w:rsidR="005133CB" w:rsidRPr="005133CB">
        <w:t>филиал</w:t>
      </w:r>
      <w:proofErr w:type="spellEnd"/>
      <w:r w:rsidR="005133CB" w:rsidRPr="005133CB">
        <w:t xml:space="preserve"> </w:t>
      </w:r>
      <w:proofErr w:type="spellStart"/>
      <w:r w:rsidR="005133CB" w:rsidRPr="005133CB">
        <w:t>же</w:t>
      </w:r>
      <w:proofErr w:type="spellEnd"/>
      <w:r w:rsidR="005133CB" w:rsidRPr="005133CB">
        <w:t xml:space="preserve"> </w:t>
      </w:r>
      <w:proofErr w:type="spellStart"/>
      <w:r w:rsidR="005133CB" w:rsidRPr="005133CB">
        <w:t>биргелешкен</w:t>
      </w:r>
      <w:proofErr w:type="spellEnd"/>
      <w:r w:rsidR="005133CB" w:rsidRPr="005133CB">
        <w:t xml:space="preserve"> </w:t>
      </w:r>
      <w:proofErr w:type="spellStart"/>
      <w:r w:rsidR="005133CB" w:rsidRPr="005133CB">
        <w:t>операциялар</w:t>
      </w:r>
      <w:proofErr w:type="spellEnd"/>
      <w:r w:rsidR="005133CB" w:rsidRPr="005133CB">
        <w:t xml:space="preserve"> </w:t>
      </w:r>
      <w:proofErr w:type="spellStart"/>
      <w:r w:rsidR="005133CB" w:rsidRPr="005133CB">
        <w:t>камтылган</w:t>
      </w:r>
      <w:proofErr w:type="spellEnd"/>
      <w:r w:rsidR="005133CB" w:rsidRPr="005133CB">
        <w:t xml:space="preserve"> </w:t>
      </w:r>
      <w:proofErr w:type="spellStart"/>
      <w:r w:rsidR="005133CB" w:rsidRPr="005133CB">
        <w:t>финансылык</w:t>
      </w:r>
      <w:proofErr w:type="spellEnd"/>
      <w:r w:rsidR="005133CB" w:rsidRPr="005133CB">
        <w:t xml:space="preserve"> </w:t>
      </w:r>
      <w:proofErr w:type="spellStart"/>
      <w:r w:rsidR="005133CB" w:rsidRPr="005133CB">
        <w:t>отчеттуулук</w:t>
      </w:r>
      <w:proofErr w:type="spellEnd"/>
      <w:r w:rsidR="005133CB" w:rsidRPr="005133CB">
        <w:t xml:space="preserve"> </w:t>
      </w:r>
      <w:proofErr w:type="spellStart"/>
      <w:r w:rsidR="005133CB" w:rsidRPr="005133CB">
        <w:t>болгон</w:t>
      </w:r>
      <w:proofErr w:type="spellEnd"/>
      <w:r w:rsidR="005133CB" w:rsidRPr="005133CB">
        <w:t xml:space="preserve"> </w:t>
      </w:r>
      <w:proofErr w:type="spellStart"/>
      <w:r w:rsidR="005133CB" w:rsidRPr="005133CB">
        <w:t>учурда</w:t>
      </w:r>
      <w:proofErr w:type="spellEnd"/>
      <w:r w:rsidR="005133CB" w:rsidRPr="005133CB">
        <w:t xml:space="preserve"> </w:t>
      </w:r>
      <w:proofErr w:type="spellStart"/>
      <w:r w:rsidR="005133CB" w:rsidRPr="005133CB">
        <w:t>мындай</w:t>
      </w:r>
      <w:proofErr w:type="spellEnd"/>
      <w:r w:rsidR="005133CB" w:rsidRPr="005133CB">
        <w:t xml:space="preserve"> </w:t>
      </w:r>
      <w:proofErr w:type="spellStart"/>
      <w:r w:rsidR="005133CB" w:rsidRPr="005133CB">
        <w:t>жагдай</w:t>
      </w:r>
      <w:proofErr w:type="spellEnd"/>
      <w:r w:rsidR="005133CB" w:rsidRPr="005133CB">
        <w:t xml:space="preserve"> </w:t>
      </w:r>
      <w:proofErr w:type="spellStart"/>
      <w:r w:rsidR="005133CB" w:rsidRPr="005133CB">
        <w:t>орун</w:t>
      </w:r>
      <w:proofErr w:type="spellEnd"/>
      <w:r w:rsidR="005133CB" w:rsidRPr="005133CB">
        <w:t xml:space="preserve"> </w:t>
      </w:r>
      <w:proofErr w:type="spellStart"/>
      <w:r w:rsidR="005133CB" w:rsidRPr="005133CB">
        <w:t>алышы</w:t>
      </w:r>
      <w:proofErr w:type="spellEnd"/>
      <w:r w:rsidR="005133CB" w:rsidRPr="005133CB">
        <w:t xml:space="preserve"> </w:t>
      </w:r>
      <w:proofErr w:type="spellStart"/>
      <w:r w:rsidR="005133CB" w:rsidRPr="005133CB">
        <w:t>мүмкүн</w:t>
      </w:r>
      <w:proofErr w:type="spellEnd"/>
      <w:r>
        <w:t>.</w:t>
      </w:r>
    </w:p>
  </w:footnote>
  <w:footnote w:id="2">
    <w:p w:rsidR="00EE0404" w:rsidRDefault="00EE0404" w:rsidP="00EE0404">
      <w:pPr>
        <w:pStyle w:val="a4"/>
      </w:pPr>
      <w:r>
        <w:rPr>
          <w:rStyle w:val="a3"/>
        </w:rPr>
        <w:footnoteRef/>
      </w:r>
      <w:r>
        <w:tab/>
      </w:r>
      <w:proofErr w:type="spellStart"/>
      <w:r w:rsidRPr="00EE0404">
        <w:t>Тикелей</w:t>
      </w:r>
      <w:proofErr w:type="spellEnd"/>
      <w:r w:rsidRPr="00EE0404">
        <w:t xml:space="preserve"> </w:t>
      </w:r>
      <w:proofErr w:type="spellStart"/>
      <w:r w:rsidRPr="00EE0404">
        <w:t>метод</w:t>
      </w:r>
      <w:proofErr w:type="spellEnd"/>
      <w:r w:rsidRPr="00EE0404">
        <w:t xml:space="preserve"> – </w:t>
      </w:r>
      <w:proofErr w:type="spellStart"/>
      <w:r w:rsidRPr="00EE0404">
        <w:t>чет</w:t>
      </w:r>
      <w:proofErr w:type="spellEnd"/>
      <w:r w:rsidRPr="00EE0404">
        <w:t xml:space="preserve"> </w:t>
      </w:r>
      <w:proofErr w:type="spellStart"/>
      <w:r w:rsidRPr="00EE0404">
        <w:t>өлкөлүк</w:t>
      </w:r>
      <w:proofErr w:type="spellEnd"/>
      <w:r w:rsidRPr="00EE0404">
        <w:t xml:space="preserve"> </w:t>
      </w:r>
      <w:proofErr w:type="spellStart"/>
      <w:r w:rsidRPr="00EE0404">
        <w:t>бөлүмдүн</w:t>
      </w:r>
      <w:proofErr w:type="spellEnd"/>
      <w:r w:rsidRPr="00EE0404">
        <w:t xml:space="preserve"> </w:t>
      </w:r>
      <w:proofErr w:type="spellStart"/>
      <w:r w:rsidRPr="00EE0404">
        <w:t>финансылык</w:t>
      </w:r>
      <w:proofErr w:type="spellEnd"/>
      <w:r w:rsidRPr="00EE0404">
        <w:t xml:space="preserve"> </w:t>
      </w:r>
      <w:proofErr w:type="spellStart"/>
      <w:r w:rsidRPr="00EE0404">
        <w:t>отчеттуулугу</w:t>
      </w:r>
      <w:proofErr w:type="spellEnd"/>
      <w:r w:rsidRPr="00EE0404">
        <w:t xml:space="preserve"> </w:t>
      </w:r>
      <w:proofErr w:type="spellStart"/>
      <w:r w:rsidRPr="00EE0404">
        <w:t>акыркы</w:t>
      </w:r>
      <w:proofErr w:type="spellEnd"/>
      <w:r w:rsidRPr="00EE0404">
        <w:t xml:space="preserve"> </w:t>
      </w:r>
      <w:proofErr w:type="spellStart"/>
      <w:r w:rsidRPr="00EE0404">
        <w:t>башкы</w:t>
      </w:r>
      <w:proofErr w:type="spellEnd"/>
      <w:r w:rsidRPr="00EE0404">
        <w:t xml:space="preserve"> </w:t>
      </w:r>
      <w:proofErr w:type="spellStart"/>
      <w:r w:rsidRPr="00EE0404">
        <w:t>ишкананын</w:t>
      </w:r>
      <w:proofErr w:type="spellEnd"/>
      <w:r w:rsidRPr="00EE0404">
        <w:t xml:space="preserve"> </w:t>
      </w:r>
      <w:proofErr w:type="spellStart"/>
      <w:r w:rsidRPr="00EE0404">
        <w:t>колдонуудагы</w:t>
      </w:r>
      <w:proofErr w:type="spellEnd"/>
      <w:r w:rsidRPr="00EE0404">
        <w:t xml:space="preserve"> </w:t>
      </w:r>
      <w:proofErr w:type="spellStart"/>
      <w:r w:rsidRPr="00EE0404">
        <w:t>валютасына</w:t>
      </w:r>
      <w:proofErr w:type="spellEnd"/>
      <w:r w:rsidRPr="00EE0404">
        <w:t xml:space="preserve"> </w:t>
      </w:r>
      <w:proofErr w:type="spellStart"/>
      <w:r w:rsidRPr="00EE0404">
        <w:t>түздөн-түз</w:t>
      </w:r>
      <w:proofErr w:type="spellEnd"/>
      <w:r w:rsidRPr="00EE0404">
        <w:t xml:space="preserve"> </w:t>
      </w:r>
      <w:proofErr w:type="spellStart"/>
      <w:r w:rsidRPr="00EE0404">
        <w:t>кайра</w:t>
      </w:r>
      <w:proofErr w:type="spellEnd"/>
      <w:r w:rsidRPr="00EE0404">
        <w:t xml:space="preserve"> </w:t>
      </w:r>
      <w:proofErr w:type="spellStart"/>
      <w:r w:rsidRPr="00EE0404">
        <w:t>эсептелген</w:t>
      </w:r>
      <w:proofErr w:type="spellEnd"/>
      <w:r w:rsidRPr="00EE0404">
        <w:t xml:space="preserve"> </w:t>
      </w:r>
      <w:proofErr w:type="spellStart"/>
      <w:r w:rsidRPr="00EE0404">
        <w:t>консолидациялоо</w:t>
      </w:r>
      <w:proofErr w:type="spellEnd"/>
      <w:r w:rsidRPr="00EE0404">
        <w:t xml:space="preserve"> </w:t>
      </w:r>
      <w:proofErr w:type="spellStart"/>
      <w:r w:rsidRPr="00EE0404">
        <w:t>методу</w:t>
      </w:r>
      <w:proofErr w:type="spellEnd"/>
      <w:r w:rsidRPr="00EE0404">
        <w:t xml:space="preserve">. </w:t>
      </w:r>
      <w:proofErr w:type="spellStart"/>
      <w:r w:rsidRPr="00EE0404">
        <w:t>Кадам</w:t>
      </w:r>
      <w:proofErr w:type="spellEnd"/>
      <w:r w:rsidRPr="00EE0404">
        <w:t xml:space="preserve"> </w:t>
      </w:r>
      <w:proofErr w:type="spellStart"/>
      <w:r w:rsidRPr="00EE0404">
        <w:t>методу</w:t>
      </w:r>
      <w:proofErr w:type="spellEnd"/>
      <w:r w:rsidRPr="00EE0404">
        <w:t xml:space="preserve"> - </w:t>
      </w:r>
      <w:proofErr w:type="spellStart"/>
      <w:r w:rsidRPr="00EE0404">
        <w:t>чет</w:t>
      </w:r>
      <w:proofErr w:type="spellEnd"/>
      <w:r w:rsidRPr="00EE0404">
        <w:t xml:space="preserve"> </w:t>
      </w:r>
      <w:proofErr w:type="spellStart"/>
      <w:r w:rsidRPr="00EE0404">
        <w:t>өлкөлүк</w:t>
      </w:r>
      <w:proofErr w:type="spellEnd"/>
      <w:r w:rsidRPr="00EE0404">
        <w:t xml:space="preserve"> </w:t>
      </w:r>
      <w:proofErr w:type="spellStart"/>
      <w:r w:rsidRPr="00EE0404">
        <w:t>бөлүмдүн</w:t>
      </w:r>
      <w:proofErr w:type="spellEnd"/>
      <w:r w:rsidRPr="00EE0404">
        <w:t xml:space="preserve"> </w:t>
      </w:r>
      <w:proofErr w:type="spellStart"/>
      <w:r w:rsidRPr="00EE0404">
        <w:t>финансылык</w:t>
      </w:r>
      <w:proofErr w:type="spellEnd"/>
      <w:r w:rsidRPr="00EE0404">
        <w:t xml:space="preserve"> </w:t>
      </w:r>
      <w:proofErr w:type="spellStart"/>
      <w:r w:rsidRPr="00EE0404">
        <w:t>отчеттуулугу</w:t>
      </w:r>
      <w:proofErr w:type="spellEnd"/>
      <w:r w:rsidRPr="00EE0404">
        <w:t xml:space="preserve"> </w:t>
      </w:r>
      <w:proofErr w:type="spellStart"/>
      <w:r w:rsidRPr="00EE0404">
        <w:t>адегенде</w:t>
      </w:r>
      <w:proofErr w:type="spellEnd"/>
      <w:r w:rsidRPr="00EE0404">
        <w:t xml:space="preserve"> </w:t>
      </w:r>
      <w:proofErr w:type="spellStart"/>
      <w:r w:rsidRPr="00EE0404">
        <w:t>ортодогу</w:t>
      </w:r>
      <w:proofErr w:type="spellEnd"/>
      <w:r w:rsidRPr="00EE0404">
        <w:t xml:space="preserve"> </w:t>
      </w:r>
      <w:proofErr w:type="spellStart"/>
      <w:r w:rsidRPr="00EE0404">
        <w:t>башкы</w:t>
      </w:r>
      <w:proofErr w:type="spellEnd"/>
      <w:r w:rsidRPr="00EE0404">
        <w:t xml:space="preserve"> </w:t>
      </w:r>
      <w:proofErr w:type="spellStart"/>
      <w:r w:rsidRPr="00EE0404">
        <w:t>ишкананын</w:t>
      </w:r>
      <w:proofErr w:type="spellEnd"/>
      <w:r w:rsidRPr="00EE0404">
        <w:t xml:space="preserve"> (</w:t>
      </w:r>
      <w:proofErr w:type="spellStart"/>
      <w:r w:rsidRPr="00EE0404">
        <w:t>ишканалардын</w:t>
      </w:r>
      <w:proofErr w:type="spellEnd"/>
      <w:r w:rsidRPr="00EE0404">
        <w:t xml:space="preserve">) </w:t>
      </w:r>
      <w:proofErr w:type="spellStart"/>
      <w:r w:rsidRPr="00EE0404">
        <w:t>колдонуудагы</w:t>
      </w:r>
      <w:proofErr w:type="spellEnd"/>
      <w:r w:rsidRPr="00EE0404">
        <w:t xml:space="preserve"> </w:t>
      </w:r>
      <w:proofErr w:type="spellStart"/>
      <w:r w:rsidRPr="00EE0404">
        <w:t>валютасына</w:t>
      </w:r>
      <w:proofErr w:type="spellEnd"/>
      <w:r w:rsidRPr="00EE0404">
        <w:t xml:space="preserve"> </w:t>
      </w:r>
      <w:proofErr w:type="spellStart"/>
      <w:r w:rsidRPr="00EE0404">
        <w:t>кайра</w:t>
      </w:r>
      <w:proofErr w:type="spellEnd"/>
      <w:r w:rsidRPr="00EE0404">
        <w:t xml:space="preserve"> </w:t>
      </w:r>
      <w:proofErr w:type="spellStart"/>
      <w:r w:rsidRPr="00EE0404">
        <w:t>эсептелип</w:t>
      </w:r>
      <w:proofErr w:type="spellEnd"/>
      <w:r w:rsidRPr="00EE0404">
        <w:t xml:space="preserve">, </w:t>
      </w:r>
      <w:proofErr w:type="spellStart"/>
      <w:r w:rsidRPr="00EE0404">
        <w:t>андан</w:t>
      </w:r>
      <w:proofErr w:type="spellEnd"/>
      <w:r w:rsidRPr="00EE0404">
        <w:t xml:space="preserve"> </w:t>
      </w:r>
      <w:proofErr w:type="spellStart"/>
      <w:r w:rsidRPr="00EE0404">
        <w:t>кийин</w:t>
      </w:r>
      <w:proofErr w:type="spellEnd"/>
      <w:r w:rsidRPr="00EE0404">
        <w:t xml:space="preserve"> </w:t>
      </w:r>
      <w:proofErr w:type="spellStart"/>
      <w:r w:rsidRPr="00EE0404">
        <w:t>акыркы</w:t>
      </w:r>
      <w:proofErr w:type="spellEnd"/>
      <w:r w:rsidRPr="00EE0404">
        <w:t xml:space="preserve"> </w:t>
      </w:r>
      <w:proofErr w:type="spellStart"/>
      <w:r w:rsidRPr="00EE0404">
        <w:t>башкы</w:t>
      </w:r>
      <w:proofErr w:type="spellEnd"/>
      <w:r w:rsidRPr="00EE0404">
        <w:t xml:space="preserve"> </w:t>
      </w:r>
      <w:proofErr w:type="spellStart"/>
      <w:r w:rsidRPr="00EE0404">
        <w:t>ишкананын</w:t>
      </w:r>
      <w:proofErr w:type="spellEnd"/>
      <w:r w:rsidRPr="00EE0404">
        <w:t xml:space="preserve"> </w:t>
      </w:r>
      <w:proofErr w:type="spellStart"/>
      <w:r w:rsidRPr="00EE0404">
        <w:t>колдонуудагы</w:t>
      </w:r>
      <w:proofErr w:type="spellEnd"/>
      <w:r w:rsidRPr="00EE0404">
        <w:t xml:space="preserve"> </w:t>
      </w:r>
      <w:proofErr w:type="spellStart"/>
      <w:r w:rsidRPr="00EE0404">
        <w:t>валютасына</w:t>
      </w:r>
      <w:proofErr w:type="spellEnd"/>
      <w:r w:rsidRPr="00EE0404">
        <w:t xml:space="preserve"> (</w:t>
      </w:r>
      <w:proofErr w:type="spellStart"/>
      <w:r w:rsidRPr="00EE0404">
        <w:t>же</w:t>
      </w:r>
      <w:proofErr w:type="spellEnd"/>
      <w:r w:rsidRPr="00EE0404">
        <w:t xml:space="preserve"> </w:t>
      </w:r>
      <w:proofErr w:type="spellStart"/>
      <w:r w:rsidRPr="00EE0404">
        <w:t>эгерде</w:t>
      </w:r>
      <w:proofErr w:type="spellEnd"/>
      <w:r w:rsidRPr="00EE0404">
        <w:t xml:space="preserve"> </w:t>
      </w:r>
      <w:proofErr w:type="spellStart"/>
      <w:r w:rsidRPr="00EE0404">
        <w:t>алар</w:t>
      </w:r>
      <w:proofErr w:type="spellEnd"/>
      <w:r w:rsidRPr="00EE0404">
        <w:t xml:space="preserve"> </w:t>
      </w:r>
      <w:proofErr w:type="spellStart"/>
      <w:r w:rsidRPr="00EE0404">
        <w:t>айырмаланса</w:t>
      </w:r>
      <w:proofErr w:type="spellEnd"/>
      <w:r w:rsidRPr="00EE0404">
        <w:t xml:space="preserve">, </w:t>
      </w:r>
      <w:proofErr w:type="spellStart"/>
      <w:r w:rsidRPr="00EE0404">
        <w:t>отчеттуулукту</w:t>
      </w:r>
      <w:proofErr w:type="spellEnd"/>
      <w:r w:rsidRPr="00EE0404">
        <w:t xml:space="preserve"> </w:t>
      </w:r>
      <w:proofErr w:type="spellStart"/>
      <w:r w:rsidRPr="00EE0404">
        <w:t>тапшыруу</w:t>
      </w:r>
      <w:proofErr w:type="spellEnd"/>
      <w:r w:rsidRPr="00EE0404">
        <w:t xml:space="preserve"> </w:t>
      </w:r>
      <w:proofErr w:type="spellStart"/>
      <w:r w:rsidRPr="00EE0404">
        <w:t>валютасына</w:t>
      </w:r>
      <w:proofErr w:type="spellEnd"/>
      <w:r w:rsidRPr="00EE0404">
        <w:t xml:space="preserve">) </w:t>
      </w:r>
      <w:proofErr w:type="spellStart"/>
      <w:r w:rsidRPr="00EE0404">
        <w:t>кайра</w:t>
      </w:r>
      <w:proofErr w:type="spellEnd"/>
      <w:r w:rsidRPr="00EE0404">
        <w:t xml:space="preserve"> </w:t>
      </w:r>
      <w:proofErr w:type="spellStart"/>
      <w:r w:rsidRPr="00EE0404">
        <w:t>эсептелген</w:t>
      </w:r>
      <w:proofErr w:type="spellEnd"/>
      <w:r w:rsidRPr="00EE0404">
        <w:t xml:space="preserve"> </w:t>
      </w:r>
      <w:proofErr w:type="spellStart"/>
      <w:r w:rsidRPr="00EE0404">
        <w:t>консолидациялоо</w:t>
      </w:r>
      <w:proofErr w:type="spellEnd"/>
      <w:r w:rsidRPr="00EE0404">
        <w:t xml:space="preserve"> </w:t>
      </w:r>
      <w:proofErr w:type="spellStart"/>
      <w:r w:rsidRPr="00EE0404">
        <w:t>методу</w:t>
      </w:r>
      <w:proofErr w:type="spellEnd"/>
      <w:r w:rsidRPr="00EE040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1BD" w:rsidRDefault="004901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AE" w:rsidRDefault="00972DAE" w:rsidP="00972DAE">
    <w:pPr>
      <w:pStyle w:val="a6"/>
      <w:jc w:val="right"/>
    </w:pPr>
    <w:r w:rsidRPr="00972DAE">
      <w:t>ЭФОТК (IFRIC)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1BD" w:rsidRDefault="004901B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AC5"/>
    <w:rsid w:val="000E6173"/>
    <w:rsid w:val="00110538"/>
    <w:rsid w:val="001E3D1A"/>
    <w:rsid w:val="002801F8"/>
    <w:rsid w:val="002F55DA"/>
    <w:rsid w:val="00360AC5"/>
    <w:rsid w:val="0038575D"/>
    <w:rsid w:val="003A39EA"/>
    <w:rsid w:val="003B059F"/>
    <w:rsid w:val="003E4EA2"/>
    <w:rsid w:val="004901BD"/>
    <w:rsid w:val="005133CB"/>
    <w:rsid w:val="00516A40"/>
    <w:rsid w:val="00544862"/>
    <w:rsid w:val="00705DF1"/>
    <w:rsid w:val="00781E77"/>
    <w:rsid w:val="00791F92"/>
    <w:rsid w:val="00894AEB"/>
    <w:rsid w:val="00972DAE"/>
    <w:rsid w:val="00A33F48"/>
    <w:rsid w:val="00A65E57"/>
    <w:rsid w:val="00B246C7"/>
    <w:rsid w:val="00C63674"/>
    <w:rsid w:val="00D217C5"/>
    <w:rsid w:val="00D83DF5"/>
    <w:rsid w:val="00E858DC"/>
    <w:rsid w:val="00EE0404"/>
    <w:rsid w:val="00F01822"/>
    <w:rsid w:val="00F11355"/>
    <w:rsid w:val="00F5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F8716-8DA9-446F-B74B-A0BD2FE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npara">
    <w:name w:val="IASB Normal npara"/>
    <w:basedOn w:val="a"/>
    <w:rsid w:val="00F51E5E"/>
    <w:pPr>
      <w:spacing w:before="100" w:after="0" w:line="240" w:lineRule="auto"/>
      <w:ind w:left="782" w:hanging="782"/>
      <w:jc w:val="both"/>
    </w:pPr>
    <w:rPr>
      <w:rFonts w:ascii="Times New Roman" w:eastAsia="Times New Roman" w:hAnsi="Times New Roman" w:cs="Times New Roman"/>
      <w:sz w:val="19"/>
      <w:szCs w:val="20"/>
      <w:lang w:val="en-US"/>
    </w:rPr>
  </w:style>
  <w:style w:type="character" w:styleId="a3">
    <w:name w:val="footnote reference"/>
    <w:uiPriority w:val="99"/>
    <w:semiHidden/>
    <w:unhideWhenUsed/>
    <w:rsid w:val="002801F8"/>
    <w:rPr>
      <w:rFonts w:cs="Times New Roman"/>
      <w:vertAlign w:val="superscript"/>
    </w:rPr>
  </w:style>
  <w:style w:type="paragraph" w:styleId="a4">
    <w:name w:val="footnote text"/>
    <w:basedOn w:val="a"/>
    <w:next w:val="a"/>
    <w:link w:val="a5"/>
    <w:uiPriority w:val="99"/>
    <w:semiHidden/>
    <w:rsid w:val="002801F8"/>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2801F8"/>
    <w:rPr>
      <w:rFonts w:ascii="Times New Roman" w:eastAsia="Times New Roman" w:hAnsi="Times New Roman" w:cs="Times New Roman"/>
      <w:sz w:val="16"/>
      <w:szCs w:val="20"/>
      <w:lang w:val="en-US"/>
    </w:rPr>
  </w:style>
  <w:style w:type="paragraph" w:styleId="a6">
    <w:name w:val="header"/>
    <w:basedOn w:val="a"/>
    <w:link w:val="a7"/>
    <w:uiPriority w:val="99"/>
    <w:unhideWhenUsed/>
    <w:rsid w:val="00972D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2DAE"/>
  </w:style>
  <w:style w:type="paragraph" w:styleId="a8">
    <w:name w:val="footer"/>
    <w:basedOn w:val="a"/>
    <w:link w:val="a9"/>
    <w:uiPriority w:val="99"/>
    <w:unhideWhenUsed/>
    <w:rsid w:val="00972D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2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5126</Words>
  <Characters>29222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8</cp:revision>
  <dcterms:created xsi:type="dcterms:W3CDTF">2022-03-12T06:55:00Z</dcterms:created>
  <dcterms:modified xsi:type="dcterms:W3CDTF">2022-06-16T11:39:00Z</dcterms:modified>
</cp:coreProperties>
</file>