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AC6A" w14:textId="3C1F600F" w:rsidR="00C87DB6" w:rsidRPr="00656054" w:rsidRDefault="00C87DB6" w:rsidP="00656054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14:paraId="1FE30804" w14:textId="77777777" w:rsidR="002B40DA" w:rsidRPr="00656054" w:rsidRDefault="002B40DA" w:rsidP="00656054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4A217D9" w14:textId="77777777" w:rsidR="003C526D" w:rsidRPr="00656054" w:rsidRDefault="003C526D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9A6B052" w14:textId="77777777" w:rsidR="00656054" w:rsidRDefault="004873E9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ПОСТАНОВЛЕНИЕ</w:t>
      </w:r>
      <w:r w:rsidR="00656054" w:rsidRPr="00656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КАБИНЕТА МИНИСТРОВ </w:t>
      </w:r>
    </w:p>
    <w:p w14:paraId="31BF2D60" w14:textId="436FF8C0" w:rsidR="004873E9" w:rsidRPr="00656054" w:rsidRDefault="004873E9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КЫРГЫЗСКОЙ РЕСПУБЛИКИ</w:t>
      </w:r>
    </w:p>
    <w:p w14:paraId="4721B98D" w14:textId="77777777" w:rsidR="003C526D" w:rsidRPr="00656054" w:rsidRDefault="003C526D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C385BFD" w14:textId="5C6975DF" w:rsidR="002D012E" w:rsidRDefault="00F671DB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О внесении изменений в </w:t>
      </w:r>
      <w:r w:rsidR="0006157C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некоторые 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постановлени</w:t>
      </w:r>
      <w:r w:rsidR="0006157C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я</w:t>
      </w:r>
      <w:r w:rsidR="00656054" w:rsidRPr="00656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Кабинета Министров Кыргызской Республики </w:t>
      </w:r>
      <w:bookmarkStart w:id="0" w:name="_Hlk167973828"/>
      <w:r w:rsidR="0006157C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в сфере </w:t>
      </w:r>
      <w:r w:rsidR="001F4158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ломбардной деятельности</w:t>
      </w:r>
    </w:p>
    <w:p w14:paraId="54DBD702" w14:textId="77777777" w:rsidR="00656054" w:rsidRPr="00656054" w:rsidRDefault="00656054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CFECA" w14:textId="77777777" w:rsidR="003C526D" w:rsidRPr="00656054" w:rsidRDefault="003C526D" w:rsidP="0065605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74D821" w14:textId="03022A84" w:rsidR="00F671DB" w:rsidRPr="00656054" w:rsidRDefault="00F671DB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1" w:name="_Hlk167973881"/>
      <w:bookmarkEnd w:id="0"/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 целях </w:t>
      </w:r>
      <w:r w:rsidR="003C526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приведения подзаконных нормативных правовых актов в соответствие со статьей 5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Закона </w:t>
      </w:r>
      <w:bookmarkStart w:id="2" w:name="_Hlk174031386"/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r w:rsidR="00B444E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от 23 мая 2024 года № 88 </w:t>
      </w:r>
      <w:r w:rsidR="007A7EF9"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="003C526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внесении изменений в некоторые законодательные акты 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>деятельности ломбардов</w:t>
      </w:r>
      <w:r w:rsidR="007A7EF9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, в соответствии со статьями 13,17 конституционного Закона Кыргызской Республики </w:t>
      </w:r>
      <w:r w:rsidR="0006157C"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>О Кабинете Министров Кыргызской Республики</w:t>
      </w:r>
      <w:r w:rsidR="0006157C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bookmarkEnd w:id="2"/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Кабинет Министров Кыргызской Республики постановляет:</w:t>
      </w:r>
    </w:p>
    <w:p w14:paraId="366A1E95" w14:textId="77777777" w:rsidR="002B40DA" w:rsidRPr="00656054" w:rsidRDefault="002B40DA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24E3850" w14:textId="115DBB7C" w:rsidR="000B38A0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1. 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>Внести в постано</w:t>
      </w:r>
      <w:r w:rsidR="000B17F4" w:rsidRPr="00656054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0B38A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ление </w:t>
      </w:r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Правительства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</w:t>
      </w:r>
      <w:r w:rsidR="00237D93" w:rsidRPr="00656054">
        <w:rPr>
          <w:rFonts w:ascii="Times New Roman" w:hAnsi="Times New Roman" w:cs="Times New Roman"/>
          <w:sz w:val="28"/>
          <w:szCs w:val="28"/>
          <w:lang w:val="ky-KG"/>
        </w:rPr>
        <w:t>ик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D52FA5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7A7EF9"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>О вопросах ломбардной деятельности</w:t>
      </w:r>
      <w:r w:rsidR="007A7EF9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от 8 июня 2017 года №353 следующие изменения:</w:t>
      </w:r>
    </w:p>
    <w:p w14:paraId="1A2400DB" w14:textId="2A66256E" w:rsidR="00337B46" w:rsidRPr="00656054" w:rsidRDefault="0006157C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3" w:name="_Hlk174031034"/>
      <w:r w:rsidR="005B45A6"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>Положени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4" w:name="_Hlk174021797"/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>о минимальных требованиях к организации деятельности ломбардов на территории Кыргызской Республики</w:t>
      </w:r>
      <w:bookmarkEnd w:id="3"/>
      <w:bookmarkEnd w:id="4"/>
      <w:r w:rsidR="005B45A6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>, утвержденных выше</w:t>
      </w:r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названным</w:t>
      </w:r>
      <w:r w:rsidR="00337B46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постановлением:</w:t>
      </w:r>
    </w:p>
    <w:p w14:paraId="1FD1E23F" w14:textId="1E99C846" w:rsidR="00D82372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D82372" w:rsidRPr="00656054">
        <w:rPr>
          <w:rFonts w:ascii="Times New Roman" w:hAnsi="Times New Roman" w:cs="Times New Roman"/>
          <w:sz w:val="28"/>
          <w:szCs w:val="28"/>
          <w:lang w:val="ky-KG"/>
        </w:rPr>
        <w:t>пункт 10 дополнить абзац</w:t>
      </w:r>
      <w:r w:rsidR="0006157C" w:rsidRPr="00656054">
        <w:rPr>
          <w:rFonts w:ascii="Times New Roman" w:hAnsi="Times New Roman" w:cs="Times New Roman"/>
          <w:sz w:val="28"/>
          <w:szCs w:val="28"/>
          <w:lang w:val="ky-KG"/>
        </w:rPr>
        <w:t>ами</w:t>
      </w:r>
      <w:r w:rsidR="00D82372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A01C9" w:rsidRPr="00656054">
        <w:rPr>
          <w:rFonts w:ascii="Times New Roman" w:hAnsi="Times New Roman" w:cs="Times New Roman"/>
          <w:sz w:val="28"/>
          <w:szCs w:val="28"/>
          <w:lang w:val="ky-KG"/>
        </w:rPr>
        <w:t>десятым и одиннадцатым</w:t>
      </w:r>
      <w:r w:rsidR="0006157C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2372" w:rsidRPr="00656054">
        <w:rPr>
          <w:rFonts w:ascii="Times New Roman" w:hAnsi="Times New Roman" w:cs="Times New Roman"/>
          <w:sz w:val="28"/>
          <w:szCs w:val="28"/>
          <w:lang w:val="ky-KG"/>
        </w:rPr>
        <w:t>следующего</w:t>
      </w:r>
      <w:r w:rsidR="00CA01C9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2372" w:rsidRPr="00656054">
        <w:rPr>
          <w:rFonts w:ascii="Times New Roman" w:hAnsi="Times New Roman" w:cs="Times New Roman"/>
          <w:sz w:val="28"/>
          <w:szCs w:val="28"/>
          <w:lang w:val="ky-KG"/>
        </w:rPr>
        <w:t>содержания:</w:t>
      </w:r>
    </w:p>
    <w:p w14:paraId="57391F18" w14:textId="67D693A2" w:rsidR="00D82372" w:rsidRPr="00656054" w:rsidRDefault="0006157C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BC1C26"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D82372" w:rsidRPr="00656054">
        <w:rPr>
          <w:rFonts w:ascii="Times New Roman" w:hAnsi="Times New Roman" w:cs="Times New Roman"/>
          <w:sz w:val="28"/>
          <w:szCs w:val="28"/>
          <w:lang w:val="ky-KG"/>
        </w:rPr>
        <w:t>предоставлять заемщику информацию о размере годовой эффективной процентной ставки займа, которая должна быть открытой, доступной для заемщика и не может быть предметом коммерческой тайны;</w:t>
      </w:r>
    </w:p>
    <w:p w14:paraId="1756F478" w14:textId="36B144AB" w:rsidR="00680DFF" w:rsidRPr="00656054" w:rsidRDefault="00BC1C26" w:rsidP="00656054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EA405A" w:rsidRPr="00656054">
        <w:rPr>
          <w:rFonts w:ascii="Times New Roman" w:hAnsi="Times New Roman" w:cs="Times New Roman"/>
          <w:sz w:val="28"/>
          <w:szCs w:val="28"/>
          <w:lang w:val="ky-KG"/>
        </w:rPr>
        <w:t>установить</w:t>
      </w:r>
      <w:r w:rsidR="0080359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0DFF" w:rsidRPr="00656054">
        <w:rPr>
          <w:rFonts w:ascii="Times New Roman" w:hAnsi="Times New Roman" w:cs="Times New Roman"/>
          <w:sz w:val="28"/>
          <w:szCs w:val="28"/>
          <w:lang w:val="ky-KG"/>
        </w:rPr>
        <w:t>размер предельно допустимой годовой</w:t>
      </w:r>
      <w:r w:rsidR="00CD4B55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80DFF" w:rsidRPr="00656054">
        <w:rPr>
          <w:rFonts w:ascii="Times New Roman" w:hAnsi="Times New Roman" w:cs="Times New Roman"/>
          <w:sz w:val="28"/>
          <w:szCs w:val="28"/>
          <w:lang w:val="ky-KG"/>
        </w:rPr>
        <w:t>эффективной процентной ставки займа ломбарда, исходя из средневзвешенной номинальной процентной ставки, определяемой Национальным Банком Кыргызской Республики, к которой добавляется 12 процентов.</w:t>
      </w:r>
      <w:r w:rsidR="00901C1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Расчет годовой </w:t>
      </w:r>
      <w:r w:rsidR="00690A1E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эффективной </w:t>
      </w:r>
      <w:r w:rsidR="00901C1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процентной ставки займа ломбарда производится согласно </w:t>
      </w:r>
      <w:r w:rsidR="007C3096" w:rsidRPr="00656054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01C1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риложению </w:t>
      </w:r>
      <w:r w:rsidR="00690A1E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4 к </w:t>
      </w:r>
      <w:r w:rsidR="00901C1B" w:rsidRPr="00656054">
        <w:rPr>
          <w:rFonts w:ascii="Times New Roman" w:hAnsi="Times New Roman" w:cs="Times New Roman"/>
          <w:sz w:val="28"/>
          <w:szCs w:val="28"/>
          <w:lang w:val="ky-KG"/>
        </w:rPr>
        <w:t>настоящему Положению.</w:t>
      </w:r>
      <w:r w:rsidR="0006157C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80DFF"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5BB917D" w14:textId="0497D584" w:rsidR="00B00D2E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B00D2E" w:rsidRPr="00656054">
        <w:rPr>
          <w:rFonts w:ascii="Times New Roman" w:hAnsi="Times New Roman" w:cs="Times New Roman"/>
          <w:sz w:val="28"/>
          <w:szCs w:val="28"/>
          <w:lang w:val="ky-KG"/>
        </w:rPr>
        <w:t>пункт 11 дополнить абзац</w:t>
      </w:r>
      <w:r w:rsidR="00564E3D" w:rsidRPr="0065605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00D2E" w:rsidRPr="0065605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564E3D" w:rsidRPr="0065605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B00D2E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A01C9" w:rsidRPr="00656054">
        <w:rPr>
          <w:rFonts w:ascii="Times New Roman" w:hAnsi="Times New Roman" w:cs="Times New Roman"/>
          <w:sz w:val="28"/>
          <w:szCs w:val="28"/>
          <w:lang w:val="ky-KG"/>
        </w:rPr>
        <w:t>девятым-одиннадцатым</w:t>
      </w:r>
      <w:r w:rsidR="00564E3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0D2E" w:rsidRPr="00656054">
        <w:rPr>
          <w:rFonts w:ascii="Times New Roman" w:hAnsi="Times New Roman" w:cs="Times New Roman"/>
          <w:sz w:val="28"/>
          <w:szCs w:val="28"/>
          <w:lang w:val="ky-KG"/>
        </w:rPr>
        <w:t>следующего содержания:</w:t>
      </w:r>
    </w:p>
    <w:p w14:paraId="3AC05E07" w14:textId="45CA40D5" w:rsidR="0080359A" w:rsidRPr="00656054" w:rsidRDefault="0006157C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«- </w:t>
      </w:r>
      <w:r w:rsidR="00B00D2E" w:rsidRPr="00656054">
        <w:rPr>
          <w:rFonts w:ascii="Times New Roman" w:hAnsi="Times New Roman" w:cs="Times New Roman"/>
          <w:sz w:val="28"/>
          <w:szCs w:val="28"/>
          <w:lang w:val="ky-KG"/>
        </w:rPr>
        <w:t>в одностороннем порядке изменять и дополнять условия договора займа, если это ухудшает права и/или увеличивает обязанности заемщика;</w:t>
      </w:r>
    </w:p>
    <w:p w14:paraId="11C815CC" w14:textId="655E683F" w:rsidR="0080359A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80359A" w:rsidRPr="00656054">
        <w:rPr>
          <w:rFonts w:ascii="Times New Roman" w:hAnsi="Times New Roman" w:cs="Times New Roman"/>
          <w:sz w:val="28"/>
          <w:szCs w:val="28"/>
          <w:lang w:val="ky-KG"/>
        </w:rPr>
        <w:t>превышать размер предельно допустимой годовой эффективной процентной ставки займа ломбарда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>, установленный законодательством Кыргызской Республики о деятельности ломбардов;</w:t>
      </w:r>
    </w:p>
    <w:p w14:paraId="1DDA5852" w14:textId="303DA295" w:rsidR="00EF7FCC" w:rsidRPr="00656054" w:rsidRDefault="00564E3D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521F0E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передавать в кредитное бюро какие-либо сведения по договору займа и </w:t>
      </w:r>
      <w:r w:rsidR="0080359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w:r w:rsidR="00521F0E" w:rsidRPr="00656054">
        <w:rPr>
          <w:rFonts w:ascii="Times New Roman" w:hAnsi="Times New Roman" w:cs="Times New Roman"/>
          <w:sz w:val="28"/>
          <w:szCs w:val="28"/>
          <w:lang w:val="ky-KG"/>
        </w:rPr>
        <w:t>заемщик</w:t>
      </w:r>
      <w:r w:rsidR="0080359A" w:rsidRPr="0065605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41E5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, за исключением сведений договора займа, в котором сумма займа </w:t>
      </w:r>
      <w:r w:rsidR="00A15625" w:rsidRPr="00656054">
        <w:rPr>
          <w:rFonts w:ascii="Times New Roman" w:hAnsi="Times New Roman" w:cs="Times New Roman"/>
          <w:sz w:val="28"/>
          <w:szCs w:val="28"/>
          <w:lang w:val="ky-KG"/>
        </w:rPr>
        <w:t>превышает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200 000 сом</w:t>
      </w:r>
      <w:r w:rsidR="00680DFF" w:rsidRPr="0065605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14:paraId="3CC7F801" w14:textId="02D6B334" w:rsidR="00681A29" w:rsidRPr="00656054" w:rsidRDefault="00681A29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- пункт 14 </w:t>
      </w:r>
      <w:r w:rsidR="00564E3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дополнить </w:t>
      </w:r>
      <w:r w:rsidR="00B3134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девятым </w:t>
      </w:r>
      <w:r w:rsidR="00564E3D" w:rsidRPr="00656054">
        <w:rPr>
          <w:rFonts w:ascii="Times New Roman" w:hAnsi="Times New Roman" w:cs="Times New Roman"/>
          <w:sz w:val="28"/>
          <w:szCs w:val="28"/>
          <w:lang w:val="ky-KG"/>
        </w:rPr>
        <w:t>абзацем</w:t>
      </w:r>
      <w:r w:rsidR="00D161B9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следующего содержания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35D170BC" w14:textId="774E7F23" w:rsidR="00681A29" w:rsidRPr="00656054" w:rsidRDefault="00B31340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«- </w:t>
      </w:r>
      <w:r w:rsidR="00681A29" w:rsidRPr="00656054">
        <w:rPr>
          <w:rFonts w:ascii="Times New Roman" w:hAnsi="Times New Roman" w:cs="Times New Roman"/>
          <w:sz w:val="28"/>
          <w:szCs w:val="28"/>
          <w:lang w:val="ky-KG"/>
        </w:rPr>
        <w:t>предоставить заемщику условия договора займа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.»</w:t>
      </w:r>
      <w:r w:rsidR="0033049A"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53B6B80" w14:textId="05509212" w:rsidR="00690A1E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33049A" w:rsidRPr="00656054">
        <w:rPr>
          <w:rFonts w:ascii="Times New Roman" w:hAnsi="Times New Roman" w:cs="Times New Roman"/>
          <w:sz w:val="28"/>
          <w:szCs w:val="28"/>
          <w:lang w:val="ky-KG"/>
        </w:rPr>
        <w:t>в пункте 21 после слов «должен предс</w:t>
      </w:r>
      <w:r w:rsidR="00971194" w:rsidRPr="0065605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33049A" w:rsidRPr="00656054">
        <w:rPr>
          <w:rFonts w:ascii="Times New Roman" w:hAnsi="Times New Roman" w:cs="Times New Roman"/>
          <w:sz w:val="28"/>
          <w:szCs w:val="28"/>
          <w:lang w:val="ky-KG"/>
        </w:rPr>
        <w:t>авить в течение 3 дней»</w:t>
      </w:r>
      <w:r w:rsidR="00971194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 дополнить словами «со дня принятия решения о ликвидации (о прекращении своей деятельности)»</w:t>
      </w:r>
      <w:r w:rsidR="00690A1E"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D3DC6A0" w14:textId="7777777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 дополнить приложением 4 следующего содержания:</w:t>
      </w:r>
    </w:p>
    <w:p w14:paraId="740833AD" w14:textId="13F5FA75" w:rsidR="00AA2BE8" w:rsidRPr="00656054" w:rsidRDefault="004B45A2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</w:p>
    <w:p w14:paraId="472B11B8" w14:textId="77777777" w:rsidR="00690A1E" w:rsidRPr="00656054" w:rsidRDefault="00690A1E" w:rsidP="00D52FA5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Приложение 4</w:t>
      </w:r>
    </w:p>
    <w:p w14:paraId="5A53A85E" w14:textId="7777777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F8A5BC2" w14:textId="3FD9D0EE" w:rsidR="00690A1E" w:rsidRPr="00656054" w:rsidRDefault="00690A1E" w:rsidP="00D52FA5">
      <w:pPr>
        <w:pStyle w:val="a4"/>
        <w:ind w:left="566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к Положению о минимальных требованиях к организации деятельности ломбардов на территории Кыргызской Республики</w:t>
      </w:r>
    </w:p>
    <w:p w14:paraId="09EF13E5" w14:textId="77777777" w:rsidR="00690A1E" w:rsidRPr="00656054" w:rsidRDefault="00690A1E" w:rsidP="00D52FA5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72BA1C8F" w14:textId="77777777" w:rsidR="00D52FA5" w:rsidRDefault="00690A1E" w:rsidP="00D52F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Правила</w:t>
      </w:r>
      <w:r w:rsidR="00D52FA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14:paraId="65B92EB0" w14:textId="0041ADED" w:rsidR="00690A1E" w:rsidRPr="00656054" w:rsidRDefault="00690A1E" w:rsidP="00D52F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расчета годовой эффективной процентной ставки</w:t>
      </w:r>
      <w:r w:rsidR="00D52FA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по договору займа</w:t>
      </w:r>
    </w:p>
    <w:p w14:paraId="70D7542E" w14:textId="77777777" w:rsidR="00D52FA5" w:rsidRDefault="00D52FA5" w:rsidP="00D52FA5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53DD44E" w14:textId="68E69462" w:rsidR="00690A1E" w:rsidRPr="00656054" w:rsidRDefault="00690A1E" w:rsidP="00D52FA5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1. Общие положения</w:t>
      </w:r>
    </w:p>
    <w:p w14:paraId="200695D2" w14:textId="77777777" w:rsidR="00690A1E" w:rsidRPr="00656054" w:rsidRDefault="00690A1E" w:rsidP="00D52FA5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7AE58D4" w14:textId="53C79894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1. Настоящие Правила расчета годовой эффективной процентной ставки займа по договору займа (далее – Правила) устанавливают порядок расчета годовой эффективной ставки вознаграждения по договору займа, заключаемому с заемщиком-физическим лицом.</w:t>
      </w:r>
    </w:p>
    <w:p w14:paraId="3692980E" w14:textId="6FADDFA6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Годовая </w:t>
      </w:r>
      <w:r w:rsidR="003B6F2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процентная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эффективная ставка займа – процентная ставка в достоверном, годовом, эффективном, сопоставимом исчислении (реальная стоимость) по договору займа, рассчитываемая в соответствии с Правилами.</w:t>
      </w:r>
    </w:p>
    <w:p w14:paraId="30E01F2A" w14:textId="0F4CE64C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2. Годовая эффективная </w:t>
      </w:r>
      <w:r w:rsidR="003B6F2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процентная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ставка указывается в договоре займа.</w:t>
      </w:r>
    </w:p>
    <w:p w14:paraId="21184C13" w14:textId="57D82D2A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3. Расчет годовой эффективной </w:t>
      </w:r>
      <w:r w:rsidR="003B6F2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процентной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ставки производится:</w:t>
      </w:r>
    </w:p>
    <w:p w14:paraId="1932A2F6" w14:textId="2FADD5D4" w:rsidR="00AA2BE8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1) на дату заключения договора займа;</w:t>
      </w:r>
    </w:p>
    <w:p w14:paraId="63A10A65" w14:textId="179AFB78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2) 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уплаты.</w:t>
      </w:r>
    </w:p>
    <w:p w14:paraId="3418A041" w14:textId="6FD71C45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4. 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уплаты, включая изменение процентной ставки в случаях, предусмотренных договором займа, годовая эффективная процентная ставка по договору займа рассчитывается заимодателем на основании остатка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lastRenderedPageBreak/>
        <w:t>основного долга, оставшегося срока погашения займа на дату, с которой изменяются условия договора займа, комиссий и иных платежей, подлежащих оплате заемщиком, и указывается в дополнительном соглашении к договору займа.</w:t>
      </w:r>
    </w:p>
    <w:p w14:paraId="2FC8B61B" w14:textId="7777777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1FEF124" w14:textId="16E04A80" w:rsidR="00690A1E" w:rsidRPr="00656054" w:rsidRDefault="00690A1E" w:rsidP="00D52FA5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2. Расчет годовой эффективной </w:t>
      </w:r>
      <w:r w:rsidR="003B6F2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процентной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ставки</w:t>
      </w:r>
    </w:p>
    <w:p w14:paraId="6C75C8EB" w14:textId="7777777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DA9CD36" w14:textId="218A6D51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5. Годовая эффективная процентная ставка по договору займа рассчитывается из следующего равенства:</w:t>
      </w:r>
    </w:p>
    <w:p w14:paraId="76329BE8" w14:textId="7777777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</w:p>
    <w:p w14:paraId="31CBC779" w14:textId="6DEC943C" w:rsidR="00690A1E" w:rsidRPr="00656054" w:rsidRDefault="00AA2B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noProof/>
          <w:sz w:val="28"/>
          <w:szCs w:val="28"/>
          <w:lang w:val="ky-KG"/>
        </w:rPr>
        <w:drawing>
          <wp:inline distT="0" distB="0" distL="0" distR="0" wp14:anchorId="544E7485" wp14:editId="105D7F62">
            <wp:extent cx="2865600" cy="499745"/>
            <wp:effectExtent l="0" t="0" r="0" b="0"/>
            <wp:docPr id="1747287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03" cy="50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EC3FD" w14:textId="77777777" w:rsidR="00AA2BE8" w:rsidRPr="00656054" w:rsidRDefault="00AA2B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1B044D8" w14:textId="7129E08B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A2BE8" w:rsidRPr="00656054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где:</w:t>
      </w:r>
    </w:p>
    <w:p w14:paraId="124E1526" w14:textId="40E13F69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n - порядковый номер последней выплаты заемщику;</w:t>
      </w:r>
    </w:p>
    <w:p w14:paraId="588DFDE3" w14:textId="1C4A8054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j - порядковый номер выплаты заемщику;</w:t>
      </w:r>
    </w:p>
    <w:p w14:paraId="5A51D850" w14:textId="593FEE18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Sj - сумма j-той выплаты заемщику;</w:t>
      </w:r>
    </w:p>
    <w:p w14:paraId="10E44FA7" w14:textId="13EBA178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APR - годовая эффективная процентная ставка займа;</w:t>
      </w:r>
    </w:p>
    <w:p w14:paraId="21D0844C" w14:textId="11DFCB32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tj - период времени со дня предоставления займа до момента j-той выплаты заемщику (в днях);</w:t>
      </w:r>
    </w:p>
    <w:p w14:paraId="57702E27" w14:textId="42ED5EC9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m - порядковый номер последнего платежа заемщика;</w:t>
      </w:r>
    </w:p>
    <w:p w14:paraId="05A76025" w14:textId="6016C78A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і - порядковый номер платежа заемщика;</w:t>
      </w:r>
    </w:p>
    <w:p w14:paraId="012013FB" w14:textId="470ED53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Pi - сумма і-того платежа заемщика;</w:t>
      </w:r>
    </w:p>
    <w:p w14:paraId="46AB41ED" w14:textId="1A300FF7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ti - период времени со дня предоставления займа до момента і-того платежа заемщика (в днях).</w:t>
      </w:r>
    </w:p>
    <w:p w14:paraId="330CEE5A" w14:textId="4F69E1B4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6. В расчет годовой эффективной процентной ставки по договору займа включаются все платежи заемщика по основному долгу и </w:t>
      </w:r>
      <w:r w:rsidR="009155BC" w:rsidRPr="00656054">
        <w:rPr>
          <w:rFonts w:ascii="Times New Roman" w:hAnsi="Times New Roman" w:cs="Times New Roman"/>
          <w:sz w:val="28"/>
          <w:szCs w:val="28"/>
          <w:lang w:val="ky-KG"/>
        </w:rPr>
        <w:t>начисленным процентам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, а также комиссии и иные платежи за весь период действия договора займа.</w:t>
      </w:r>
    </w:p>
    <w:p w14:paraId="1220BC0E" w14:textId="7CE21DCC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7. В расчет годовой эффективной процентной ставки по договору займа не включается неустойка (штраф, пеня) за нарушение обязательства по возврату суммы займа и (или) уплате вознаграждения по договору займа.</w:t>
      </w:r>
    </w:p>
    <w:p w14:paraId="0CDB11E6" w14:textId="0FB1DEA0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8. Произведенные выплаты заемщика заимодателю и выплаты заимодателя заемщику учитываются на даты их фактического осуществления, будущие - по графику выплат (при наличии).</w:t>
      </w:r>
    </w:p>
    <w:p w14:paraId="4B4A497E" w14:textId="371AA376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9. Если при расчете годовой эффективной процентной ставки полученное число имеет более одного десятичного знака, оно подлежит округлению до десятых долей следующим образом:</w:t>
      </w:r>
    </w:p>
    <w:p w14:paraId="7BF255AA" w14:textId="60F8C1D2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1) если сотая доля больше или равна 5, десятая доля увеличивается на 1, все следующие за ней знаки исключаются;</w:t>
      </w:r>
    </w:p>
    <w:p w14:paraId="687EFED1" w14:textId="252D20CC" w:rsidR="00690A1E" w:rsidRPr="00656054" w:rsidRDefault="00690A1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2) если сотая доля меньше 5, десятая доля остается без изменений, все следующие за ней знаки исключаются.</w:t>
      </w:r>
      <w:r w:rsidR="00AA2BE8" w:rsidRPr="00656054">
        <w:rPr>
          <w:rFonts w:ascii="Times New Roman" w:hAnsi="Times New Roman" w:cs="Times New Roman"/>
          <w:sz w:val="28"/>
          <w:szCs w:val="28"/>
          <w:lang w:val="ky-KG"/>
        </w:rPr>
        <w:t>».</w:t>
      </w:r>
    </w:p>
    <w:p w14:paraId="1B351C2A" w14:textId="5E07735B" w:rsidR="00867F80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lastRenderedPageBreak/>
        <w:t>2. </w:t>
      </w:r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Внести </w:t>
      </w:r>
      <w:bookmarkStart w:id="5" w:name="_Hlk174031170"/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 постановление Кабинета Министров Кыргызской Республики «О лицензировании отдельных видов деятельности» от 14 декабря 2023 года №678 </w:t>
      </w:r>
      <w:bookmarkEnd w:id="5"/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>следующие изменения:</w:t>
      </w:r>
    </w:p>
    <w:p w14:paraId="5F8632E6" w14:textId="3C992E70" w:rsidR="00867F80" w:rsidRPr="00656054" w:rsidRDefault="00313FB5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 Положение </w:t>
      </w:r>
      <w:bookmarkStart w:id="6" w:name="_Hlk174031150"/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>о лицензировании отдельных видов деятельности</w:t>
      </w:r>
      <w:bookmarkEnd w:id="6"/>
      <w:r w:rsidR="00867F80" w:rsidRPr="00656054">
        <w:rPr>
          <w:rFonts w:ascii="Times New Roman" w:hAnsi="Times New Roman" w:cs="Times New Roman"/>
          <w:sz w:val="28"/>
          <w:szCs w:val="28"/>
          <w:lang w:val="ky-KG"/>
        </w:rPr>
        <w:t>, утвержденном вышеуказанным постановлением:</w:t>
      </w:r>
    </w:p>
    <w:p w14:paraId="76965265" w14:textId="07A8B3D6" w:rsidR="00731B63" w:rsidRPr="00656054" w:rsidRDefault="002B40DA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731B63" w:rsidRPr="00656054">
        <w:rPr>
          <w:rFonts w:ascii="Times New Roman" w:hAnsi="Times New Roman" w:cs="Times New Roman"/>
          <w:sz w:val="28"/>
          <w:szCs w:val="28"/>
          <w:lang w:val="ky-KG"/>
        </w:rPr>
        <w:t>пункт 242 дополнить подпунктами двенадцатым</w:t>
      </w:r>
      <w:r w:rsidR="00E11537">
        <w:rPr>
          <w:rFonts w:ascii="Times New Roman" w:hAnsi="Times New Roman" w:cs="Times New Roman"/>
          <w:sz w:val="28"/>
          <w:szCs w:val="28"/>
          <w:lang w:val="ky-KG"/>
        </w:rPr>
        <w:t>, тринадцатым, четырнадцатым</w:t>
      </w:r>
      <w:r w:rsidR="00731B63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следующего содержания:</w:t>
      </w:r>
    </w:p>
    <w:p w14:paraId="0FDF8334" w14:textId="77777777" w:rsidR="00731B63" w:rsidRPr="00656054" w:rsidRDefault="00731B63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«12) ломбард обязан представлять отчетность и раскрывать информацию в порядке, определенном законодательством Кыргызской Республики о деятельности ломбардов;</w:t>
      </w:r>
    </w:p>
    <w:p w14:paraId="0CB91179" w14:textId="0775CBE5" w:rsidR="00731B63" w:rsidRPr="00656054" w:rsidRDefault="00731B63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13) ломбард обязан соблюдать порядок предоставления займов, оформления документов по выдаче займа, оформления залога, установленный законодательством Кыргызской Республики о деятельности ломбардов;</w:t>
      </w:r>
    </w:p>
    <w:p w14:paraId="3F7D51B8" w14:textId="64CDA794" w:rsidR="00004D3D" w:rsidRPr="00656054" w:rsidRDefault="00731B63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14) </w:t>
      </w:r>
      <w:r w:rsidR="007E609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ломбард обязан собюдать предельно допустимую 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годовую </w:t>
      </w:r>
      <w:r w:rsidR="007E609D" w:rsidRPr="00656054">
        <w:rPr>
          <w:rFonts w:ascii="Times New Roman" w:hAnsi="Times New Roman" w:cs="Times New Roman"/>
          <w:sz w:val="28"/>
          <w:szCs w:val="28"/>
          <w:lang w:val="ky-KG"/>
        </w:rPr>
        <w:t>процентную ставку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по</w:t>
      </w:r>
      <w:r w:rsidR="007E609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займ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>ам</w:t>
      </w:r>
      <w:r w:rsidR="007E609D" w:rsidRPr="00656054">
        <w:rPr>
          <w:rFonts w:ascii="Times New Roman" w:hAnsi="Times New Roman" w:cs="Times New Roman"/>
          <w:sz w:val="28"/>
          <w:szCs w:val="28"/>
          <w:lang w:val="ky-KG"/>
        </w:rPr>
        <w:t>, опред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7E609D" w:rsidRPr="00656054">
        <w:rPr>
          <w:rFonts w:ascii="Times New Roman" w:hAnsi="Times New Roman" w:cs="Times New Roman"/>
          <w:sz w:val="28"/>
          <w:szCs w:val="28"/>
          <w:lang w:val="ky-KG"/>
        </w:rPr>
        <w:t>ленную</w:t>
      </w:r>
      <w:r w:rsidR="002B40D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законодательством Кыргызской Республики о деятельности ломбардов</w:t>
      </w:r>
      <w:r w:rsidR="00E72C4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7E9423B" w14:textId="635BA891" w:rsidR="006D598A" w:rsidRPr="00656054" w:rsidRDefault="009155BC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C1C26" w:rsidRPr="00656054">
        <w:rPr>
          <w:rFonts w:ascii="Times New Roman" w:hAnsi="Times New Roman" w:cs="Times New Roman"/>
          <w:sz w:val="28"/>
          <w:szCs w:val="28"/>
          <w:lang w:val="ky-KG"/>
        </w:rPr>
        <w:t>. </w:t>
      </w:r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Внести в</w:t>
      </w:r>
      <w:r w:rsidR="001613D7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7" w:name="_Hlk174031275"/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постановление Правительства Кыргызской Республики «Об утверждении Положения о порядке представления отчетности (информации) и раскрытии информации субъектами финансового рынка» от 4 сентября 2018 года № 417</w:t>
      </w:r>
      <w:bookmarkEnd w:id="7"/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следующие изменения:</w:t>
      </w:r>
    </w:p>
    <w:p w14:paraId="3E1F3493" w14:textId="1BEFD65E" w:rsidR="006D598A" w:rsidRPr="00656054" w:rsidRDefault="00AD1943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1613D7" w:rsidRPr="00656054">
        <w:rPr>
          <w:rFonts w:ascii="Times New Roman" w:hAnsi="Times New Roman" w:cs="Times New Roman"/>
          <w:sz w:val="28"/>
          <w:szCs w:val="28"/>
          <w:lang w:val="ky-KG"/>
        </w:rPr>
        <w:t>Положение</w:t>
      </w:r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8" w:name="_Hlk174031240"/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о порядке представления отчетности (информации) и раскрытии информации субъектами финансового рынка</w:t>
      </w:r>
      <w:bookmarkEnd w:id="8"/>
      <w:r w:rsidR="006D598A" w:rsidRPr="00656054">
        <w:rPr>
          <w:rFonts w:ascii="Times New Roman" w:hAnsi="Times New Roman" w:cs="Times New Roman"/>
          <w:sz w:val="28"/>
          <w:szCs w:val="28"/>
          <w:lang w:val="ky-KG"/>
        </w:rPr>
        <w:t>, утвержденному вышеназванным постановлением:</w:t>
      </w:r>
    </w:p>
    <w:p w14:paraId="76E9F2C5" w14:textId="5024BBAB" w:rsidR="006D598A" w:rsidRPr="00656054" w:rsidRDefault="006D598A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62D5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в пункте 35 добавить абзац </w:t>
      </w:r>
      <w:r w:rsidR="00E72C4E">
        <w:rPr>
          <w:rFonts w:ascii="Times New Roman" w:hAnsi="Times New Roman" w:cs="Times New Roman"/>
          <w:sz w:val="28"/>
          <w:szCs w:val="28"/>
          <w:lang w:val="ky-KG"/>
        </w:rPr>
        <w:t>весьмой</w:t>
      </w:r>
      <w:r w:rsidR="00A21942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2D5B" w:rsidRPr="00656054">
        <w:rPr>
          <w:rFonts w:ascii="Times New Roman" w:hAnsi="Times New Roman" w:cs="Times New Roman"/>
          <w:sz w:val="28"/>
          <w:szCs w:val="28"/>
          <w:lang w:val="ky-KG"/>
        </w:rPr>
        <w:t>следующего содержания:</w:t>
      </w:r>
    </w:p>
    <w:p w14:paraId="0D8DBFA0" w14:textId="3A3868C7" w:rsidR="00A21942" w:rsidRPr="00656054" w:rsidRDefault="00F62D5B" w:rsidP="00E72C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A21942" w:rsidRPr="00656054">
        <w:rPr>
          <w:rFonts w:ascii="Times New Roman" w:hAnsi="Times New Roman" w:cs="Times New Roman"/>
          <w:sz w:val="28"/>
          <w:szCs w:val="28"/>
          <w:lang w:val="ky-KG"/>
        </w:rPr>
        <w:t>К отчету прилагаются:</w:t>
      </w:r>
    </w:p>
    <w:p w14:paraId="69E169E8" w14:textId="7C954A39" w:rsidR="00F62D5B" w:rsidRPr="00656054" w:rsidRDefault="00A21942" w:rsidP="00E72C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 бухгалтерский баланс,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предпринимательства.</w:t>
      </w:r>
      <w:r w:rsidR="00F62D5B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3D88D6B" w14:textId="5AE97863" w:rsidR="00AD1943" w:rsidRPr="00656054" w:rsidRDefault="00AD1943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54">
        <w:rPr>
          <w:rFonts w:ascii="Times New Roman" w:hAnsi="Times New Roman" w:cs="Times New Roman"/>
          <w:sz w:val="28"/>
          <w:szCs w:val="28"/>
        </w:rPr>
        <w:t>2) в приложении 11 к вышеуказанному постановлению</w:t>
      </w:r>
      <w:r w:rsidR="00D00F25" w:rsidRPr="00656054">
        <w:rPr>
          <w:rFonts w:ascii="Times New Roman" w:hAnsi="Times New Roman" w:cs="Times New Roman"/>
          <w:sz w:val="28"/>
          <w:szCs w:val="28"/>
        </w:rPr>
        <w:t>:</w:t>
      </w:r>
    </w:p>
    <w:p w14:paraId="56E4DDF7" w14:textId="5806CAAF" w:rsidR="00D00F25" w:rsidRPr="00656054" w:rsidRDefault="00D00F25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54">
        <w:rPr>
          <w:rFonts w:ascii="Times New Roman" w:hAnsi="Times New Roman" w:cs="Times New Roman"/>
          <w:sz w:val="28"/>
          <w:szCs w:val="28"/>
        </w:rPr>
        <w:t>- в пункте 2 раздела I до</w:t>
      </w:r>
      <w:r w:rsidR="00DA5E00" w:rsidRPr="00656054">
        <w:rPr>
          <w:rFonts w:ascii="Times New Roman" w:hAnsi="Times New Roman" w:cs="Times New Roman"/>
          <w:sz w:val="28"/>
          <w:szCs w:val="28"/>
          <w:lang w:val="ky-KG"/>
        </w:rPr>
        <w:t>полнить</w:t>
      </w:r>
      <w:r w:rsidRPr="00656054">
        <w:rPr>
          <w:rFonts w:ascii="Times New Roman" w:hAnsi="Times New Roman" w:cs="Times New Roman"/>
          <w:sz w:val="28"/>
          <w:szCs w:val="28"/>
        </w:rPr>
        <w:t xml:space="preserve"> </w:t>
      </w:r>
      <w:r w:rsidR="004A7B54" w:rsidRPr="00656054">
        <w:rPr>
          <w:rFonts w:ascii="Times New Roman" w:hAnsi="Times New Roman" w:cs="Times New Roman"/>
          <w:sz w:val="28"/>
          <w:szCs w:val="28"/>
          <w:lang w:val="ky-KG"/>
        </w:rPr>
        <w:t>столбцами</w:t>
      </w:r>
      <w:r w:rsidR="00B6105B" w:rsidRPr="00656054">
        <w:rPr>
          <w:rFonts w:ascii="Times New Roman" w:hAnsi="Times New Roman" w:cs="Times New Roman"/>
          <w:sz w:val="28"/>
          <w:szCs w:val="28"/>
        </w:rPr>
        <w:t xml:space="preserve"> 19.1 «Сумма займов</w:t>
      </w:r>
      <w:r w:rsidR="00DA5E00" w:rsidRPr="0065605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6105B" w:rsidRPr="00656054">
        <w:rPr>
          <w:rFonts w:ascii="Times New Roman" w:hAnsi="Times New Roman" w:cs="Times New Roman"/>
          <w:sz w:val="28"/>
          <w:szCs w:val="28"/>
        </w:rPr>
        <w:t xml:space="preserve"> выданных за отчетный период подразделением ломбарда» и 19.2 «Дата закрытия обособленного подразделения»;</w:t>
      </w:r>
    </w:p>
    <w:p w14:paraId="3F97D440" w14:textId="03EDCA8D" w:rsidR="009C6037" w:rsidRPr="00656054" w:rsidRDefault="00B6105B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54">
        <w:rPr>
          <w:rFonts w:ascii="Times New Roman" w:hAnsi="Times New Roman" w:cs="Times New Roman"/>
          <w:sz w:val="28"/>
          <w:szCs w:val="28"/>
        </w:rPr>
        <w:t>- в пункте 3 раздела I до</w:t>
      </w:r>
      <w:r w:rsidR="00DA5E00" w:rsidRPr="00656054">
        <w:rPr>
          <w:rFonts w:ascii="Times New Roman" w:hAnsi="Times New Roman" w:cs="Times New Roman"/>
          <w:sz w:val="28"/>
          <w:szCs w:val="28"/>
          <w:lang w:val="ky-KG"/>
        </w:rPr>
        <w:t>полни</w:t>
      </w:r>
      <w:proofErr w:type="spellStart"/>
      <w:r w:rsidRPr="0065605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656054">
        <w:rPr>
          <w:rFonts w:ascii="Times New Roman" w:hAnsi="Times New Roman" w:cs="Times New Roman"/>
          <w:sz w:val="28"/>
          <w:szCs w:val="28"/>
        </w:rPr>
        <w:t xml:space="preserve"> </w:t>
      </w:r>
      <w:r w:rsidR="004A7B54" w:rsidRPr="00656054">
        <w:rPr>
          <w:rFonts w:ascii="Times New Roman" w:hAnsi="Times New Roman" w:cs="Times New Roman"/>
          <w:sz w:val="28"/>
          <w:szCs w:val="28"/>
          <w:lang w:val="ky-KG"/>
        </w:rPr>
        <w:t>столбцами</w:t>
      </w:r>
      <w:r w:rsidRPr="00656054">
        <w:rPr>
          <w:rFonts w:ascii="Times New Roman" w:hAnsi="Times New Roman" w:cs="Times New Roman"/>
          <w:sz w:val="28"/>
          <w:szCs w:val="28"/>
        </w:rPr>
        <w:t xml:space="preserve"> 26.1 «Остаток на счете на конец отчетного периода, </w:t>
      </w:r>
      <w:proofErr w:type="spellStart"/>
      <w:proofErr w:type="gramStart"/>
      <w:r w:rsidRPr="00656054">
        <w:rPr>
          <w:rFonts w:ascii="Times New Roman" w:hAnsi="Times New Roman" w:cs="Times New Roman"/>
          <w:sz w:val="28"/>
          <w:szCs w:val="28"/>
        </w:rPr>
        <w:t>тыс.сом</w:t>
      </w:r>
      <w:proofErr w:type="spellEnd"/>
      <w:proofErr w:type="gramEnd"/>
      <w:r w:rsidRPr="00656054">
        <w:rPr>
          <w:rFonts w:ascii="Times New Roman" w:hAnsi="Times New Roman" w:cs="Times New Roman"/>
          <w:sz w:val="28"/>
          <w:szCs w:val="28"/>
        </w:rPr>
        <w:t xml:space="preserve">» и 26.2 «Процентные доходы по счетам, начисленные за отчетный период, </w:t>
      </w:r>
      <w:proofErr w:type="spellStart"/>
      <w:r w:rsidRPr="00656054">
        <w:rPr>
          <w:rFonts w:ascii="Times New Roman" w:hAnsi="Times New Roman" w:cs="Times New Roman"/>
          <w:sz w:val="28"/>
          <w:szCs w:val="28"/>
        </w:rPr>
        <w:t>тыс.сом</w:t>
      </w:r>
      <w:proofErr w:type="spellEnd"/>
      <w:r w:rsidRPr="00656054">
        <w:rPr>
          <w:rFonts w:ascii="Times New Roman" w:hAnsi="Times New Roman" w:cs="Times New Roman"/>
          <w:sz w:val="28"/>
          <w:szCs w:val="28"/>
        </w:rPr>
        <w:t>»</w:t>
      </w:r>
      <w:r w:rsidR="009C6037" w:rsidRPr="00656054">
        <w:rPr>
          <w:rFonts w:ascii="Times New Roman" w:hAnsi="Times New Roman" w:cs="Times New Roman"/>
          <w:sz w:val="28"/>
          <w:szCs w:val="28"/>
        </w:rPr>
        <w:t>;</w:t>
      </w:r>
    </w:p>
    <w:p w14:paraId="556AF7D5" w14:textId="24980BF5" w:rsidR="00022C7D" w:rsidRPr="00656054" w:rsidRDefault="00BC1C2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</w:rPr>
        <w:t>- </w:t>
      </w:r>
      <w:r w:rsidR="009C6037" w:rsidRPr="00656054">
        <w:rPr>
          <w:rFonts w:ascii="Times New Roman" w:hAnsi="Times New Roman" w:cs="Times New Roman"/>
          <w:sz w:val="28"/>
          <w:szCs w:val="28"/>
        </w:rPr>
        <w:t xml:space="preserve">пункт 1 раздела </w:t>
      </w:r>
      <w:r w:rsidR="009C6037" w:rsidRPr="00656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2C7D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3B6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дополнить пунктом </w:t>
      </w:r>
      <w:r w:rsidR="00226B00" w:rsidRPr="00656054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E83B6B" w:rsidRPr="00656054">
        <w:rPr>
          <w:rFonts w:ascii="Times New Roman" w:hAnsi="Times New Roman" w:cs="Times New Roman"/>
          <w:sz w:val="28"/>
          <w:szCs w:val="28"/>
          <w:lang w:val="ky-KG"/>
        </w:rPr>
        <w:t>1.3.1. Информация по предоставленным займам за отчетный период</w:t>
      </w:r>
      <w:r w:rsidR="00226B00"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E83B6B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следующего содержания:</w:t>
      </w:r>
    </w:p>
    <w:p w14:paraId="76610AD6" w14:textId="360D20C1" w:rsidR="000110E1" w:rsidRDefault="000110E1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301C17B" w14:textId="77777777" w:rsidR="00E72C4E" w:rsidRDefault="00E72C4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0ACBB9F" w14:textId="77777777" w:rsidR="00E72C4E" w:rsidRDefault="00E72C4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9239088" w14:textId="77777777" w:rsidR="00E72C4E" w:rsidRDefault="00E72C4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B75BA26" w14:textId="77777777" w:rsidR="00E72C4E" w:rsidRDefault="00E72C4E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D89890C" w14:textId="5D5CCCF4" w:rsidR="00531F06" w:rsidRDefault="00022C7D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lastRenderedPageBreak/>
        <w:t>1.</w:t>
      </w:r>
      <w:r w:rsidR="00E83B6B" w:rsidRPr="00656054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0110E1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Информация по предоставленным займам за отчетный период</w:t>
      </w:r>
    </w:p>
    <w:p w14:paraId="4C2FA354" w14:textId="77777777" w:rsidR="00E11537" w:rsidRPr="00656054" w:rsidRDefault="00E11537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82C4097" w14:textId="0DED06ED" w:rsidR="00531F06" w:rsidRPr="00656054" w:rsidRDefault="00AB0D6D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96D39C" wp14:editId="6DB802CC">
            <wp:extent cx="5850890" cy="3331845"/>
            <wp:effectExtent l="0" t="0" r="0" b="1905"/>
            <wp:docPr id="10504459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A0B98" w14:textId="77777777" w:rsidR="00531F06" w:rsidRPr="00656054" w:rsidRDefault="00531F06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05E6569" w14:textId="1E233D03" w:rsidR="00531F06" w:rsidRPr="00656054" w:rsidRDefault="00AB0D6D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 в подпункте 1.4 пункта 1 раздела II в нумерации столбцов цифры «43,</w:t>
      </w:r>
      <w:r w:rsidR="00E115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44, 45, 46, 47» заменить на цифры «55, 56, 57, 58, 59»</w:t>
      </w:r>
      <w:r w:rsidR="009057E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соответственно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99A6AFE" w14:textId="73CA85E3" w:rsidR="00AB0D6D" w:rsidRPr="00656054" w:rsidRDefault="00AB0D6D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 в подпункте 1.5 пункта 1 раздела II в нумерации столбцов цифры «</w:t>
      </w:r>
      <w:r w:rsidR="003A287F" w:rsidRPr="00656054">
        <w:rPr>
          <w:rFonts w:ascii="Times New Roman" w:hAnsi="Times New Roman" w:cs="Times New Roman"/>
          <w:sz w:val="28"/>
          <w:szCs w:val="28"/>
          <w:lang w:val="ky-KG"/>
        </w:rPr>
        <w:t>48, 49, 50»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заменить на цифры «</w:t>
      </w:r>
      <w:r w:rsidR="003A287F" w:rsidRPr="00656054">
        <w:rPr>
          <w:rFonts w:ascii="Times New Roman" w:hAnsi="Times New Roman" w:cs="Times New Roman"/>
          <w:sz w:val="28"/>
          <w:szCs w:val="28"/>
          <w:lang w:val="ky-KG"/>
        </w:rPr>
        <w:t>60, 61, 62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9057E8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соответственно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F835BBA" w14:textId="71D16FE8" w:rsidR="00E71E41" w:rsidRPr="00656054" w:rsidRDefault="00AB0D6D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1F0B79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44B67" w:rsidRPr="00656054">
        <w:rPr>
          <w:rFonts w:ascii="Times New Roman" w:hAnsi="Times New Roman" w:cs="Times New Roman"/>
          <w:sz w:val="28"/>
          <w:szCs w:val="28"/>
          <w:lang w:val="ky-KG"/>
        </w:rPr>
        <w:t>подпункт</w:t>
      </w:r>
      <w:r w:rsidR="001A67D6" w:rsidRPr="00656054">
        <w:rPr>
          <w:rFonts w:ascii="Times New Roman" w:hAnsi="Times New Roman" w:cs="Times New Roman"/>
          <w:sz w:val="28"/>
          <w:szCs w:val="28"/>
          <w:lang w:val="ky-KG"/>
        </w:rPr>
        <w:t>ы 2.1</w:t>
      </w:r>
      <w:r w:rsidR="0047475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44B67" w:rsidRPr="00656054">
        <w:rPr>
          <w:rFonts w:ascii="Times New Roman" w:hAnsi="Times New Roman" w:cs="Times New Roman"/>
          <w:sz w:val="28"/>
          <w:szCs w:val="28"/>
          <w:lang w:val="ky-KG"/>
        </w:rPr>
        <w:t>2.2</w:t>
      </w:r>
      <w:r w:rsidR="0047475A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и 2.3</w:t>
      </w:r>
      <w:r w:rsidR="00F44B67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пункта 2 раздела II </w:t>
      </w:r>
      <w:r w:rsidR="00E71E41" w:rsidRPr="00656054">
        <w:rPr>
          <w:rFonts w:ascii="Times New Roman" w:hAnsi="Times New Roman" w:cs="Times New Roman"/>
          <w:sz w:val="28"/>
          <w:szCs w:val="28"/>
          <w:lang w:val="ky-KG"/>
        </w:rPr>
        <w:t>изложить в следующей редакции:</w:t>
      </w:r>
    </w:p>
    <w:p w14:paraId="4BF80E5E" w14:textId="77777777" w:rsidR="00E72C4E" w:rsidRDefault="00E72C4E" w:rsidP="00E72C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2802284" w14:textId="2A7F1EDC" w:rsidR="003A6C2E" w:rsidRDefault="001A67D6" w:rsidP="00E115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2.1. Сведения о денежных средствах, привлеченных от юридических лиц</w:t>
      </w:r>
    </w:p>
    <w:p w14:paraId="69CFA0E8" w14:textId="77777777" w:rsidR="00E11537" w:rsidRPr="00656054" w:rsidRDefault="00E11537" w:rsidP="00E115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780"/>
        <w:gridCol w:w="1559"/>
        <w:gridCol w:w="1509"/>
        <w:gridCol w:w="1609"/>
      </w:tblGrid>
      <w:tr w:rsidR="003A6C2E" w:rsidRPr="00656054" w14:paraId="25548D17" w14:textId="77777777" w:rsidTr="003A6C2E">
        <w:tc>
          <w:tcPr>
            <w:tcW w:w="988" w:type="dxa"/>
            <w:vMerge w:val="restart"/>
          </w:tcPr>
          <w:p w14:paraId="3DD4919A" w14:textId="0EC9E332" w:rsidR="003A6C2E" w:rsidRPr="00656054" w:rsidRDefault="003A6C2E" w:rsidP="002B4E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Порядковый номер</w:t>
            </w:r>
          </w:p>
        </w:tc>
        <w:tc>
          <w:tcPr>
            <w:tcW w:w="2126" w:type="dxa"/>
            <w:vMerge w:val="restart"/>
          </w:tcPr>
          <w:p w14:paraId="1EE2A50D" w14:textId="2BD8A43A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Наименование юридического лица, предоставившего ломбарду денежные средства по договор</w:t>
            </w:r>
            <w:r w:rsidR="0066209C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займа и</w:t>
            </w:r>
            <w:r w:rsidR="0066209C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/или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кредитн</w:t>
            </w:r>
            <w:r w:rsidR="0066209C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договор</w:t>
            </w:r>
            <w:r w:rsidR="0066209C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 отчетный период</w:t>
            </w:r>
          </w:p>
        </w:tc>
        <w:tc>
          <w:tcPr>
            <w:tcW w:w="1780" w:type="dxa"/>
            <w:vMerge w:val="restart"/>
          </w:tcPr>
          <w:p w14:paraId="77E2B0F8" w14:textId="20DCD323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Сумма денежных средств, предоставленных ломбарду юридическим лицом по договору займа и/или кредитному договору за отчетный 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период (тыс.сом)</w:t>
            </w:r>
          </w:p>
        </w:tc>
        <w:tc>
          <w:tcPr>
            <w:tcW w:w="4677" w:type="dxa"/>
            <w:gridSpan w:val="3"/>
          </w:tcPr>
          <w:p w14:paraId="4EAC24B6" w14:textId="381C85E7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Сумма задолженности по договорам займа и кредитным договорам, заключенным с юридическим лицом на конец отчетного периода</w:t>
            </w:r>
          </w:p>
        </w:tc>
      </w:tr>
      <w:tr w:rsidR="003A6C2E" w:rsidRPr="00656054" w14:paraId="605FA2EF" w14:textId="77777777" w:rsidTr="003A6C2E">
        <w:tc>
          <w:tcPr>
            <w:tcW w:w="988" w:type="dxa"/>
            <w:vMerge/>
          </w:tcPr>
          <w:p w14:paraId="6923C35E" w14:textId="77777777" w:rsidR="003A6C2E" w:rsidRPr="00656054" w:rsidRDefault="003A6C2E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14:paraId="1C0ACE09" w14:textId="77777777" w:rsidR="003A6C2E" w:rsidRPr="00656054" w:rsidRDefault="003A6C2E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80" w:type="dxa"/>
            <w:vMerge/>
          </w:tcPr>
          <w:p w14:paraId="658EDD6C" w14:textId="77777777" w:rsidR="003A6C2E" w:rsidRPr="00656054" w:rsidRDefault="003A6C2E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14:paraId="70A3E8BD" w14:textId="3066FE91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основному долгу, тыс.сом</w:t>
            </w:r>
          </w:p>
        </w:tc>
        <w:tc>
          <w:tcPr>
            <w:tcW w:w="1509" w:type="dxa"/>
          </w:tcPr>
          <w:p w14:paraId="5B248894" w14:textId="15FBBFED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процентам</w:t>
            </w:r>
            <w:r w:rsidR="00E1153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тыс.сом</w:t>
            </w:r>
          </w:p>
        </w:tc>
        <w:tc>
          <w:tcPr>
            <w:tcW w:w="1609" w:type="dxa"/>
          </w:tcPr>
          <w:p w14:paraId="34D1743E" w14:textId="7EB3E678" w:rsidR="003A6C2E" w:rsidRPr="00656054" w:rsidRDefault="003A6C2E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Всего, тыс. сом</w:t>
            </w:r>
          </w:p>
        </w:tc>
      </w:tr>
      <w:tr w:rsidR="0066209C" w:rsidRPr="00656054" w14:paraId="075CCECC" w14:textId="77777777" w:rsidTr="003A6C2E">
        <w:tc>
          <w:tcPr>
            <w:tcW w:w="988" w:type="dxa"/>
          </w:tcPr>
          <w:p w14:paraId="34E09C11" w14:textId="5D6AFDCE" w:rsidR="0066209C" w:rsidRPr="00656054" w:rsidRDefault="003A287F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</w:t>
            </w:r>
          </w:p>
        </w:tc>
        <w:tc>
          <w:tcPr>
            <w:tcW w:w="2126" w:type="dxa"/>
          </w:tcPr>
          <w:p w14:paraId="27CFFD09" w14:textId="0807FA4E" w:rsidR="0066209C" w:rsidRPr="00656054" w:rsidRDefault="003A287F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</w:p>
        </w:tc>
        <w:tc>
          <w:tcPr>
            <w:tcW w:w="1780" w:type="dxa"/>
          </w:tcPr>
          <w:p w14:paraId="712B1955" w14:textId="42BF70FB" w:rsidR="0066209C" w:rsidRPr="00656054" w:rsidRDefault="003A287F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  <w:tc>
          <w:tcPr>
            <w:tcW w:w="1559" w:type="dxa"/>
          </w:tcPr>
          <w:p w14:paraId="1D77D4A2" w14:textId="2C58AC87" w:rsidR="0066209C" w:rsidRPr="00656054" w:rsidRDefault="003A287F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</w:t>
            </w:r>
          </w:p>
        </w:tc>
        <w:tc>
          <w:tcPr>
            <w:tcW w:w="1509" w:type="dxa"/>
          </w:tcPr>
          <w:p w14:paraId="1924FCFB" w14:textId="4B0288F4" w:rsidR="0066209C" w:rsidRPr="00656054" w:rsidRDefault="003A287F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1609" w:type="dxa"/>
          </w:tcPr>
          <w:p w14:paraId="3B09F084" w14:textId="6833C861" w:rsidR="0066209C" w:rsidRPr="00656054" w:rsidRDefault="003A287F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</w:t>
            </w:r>
          </w:p>
        </w:tc>
      </w:tr>
      <w:tr w:rsidR="0066209C" w:rsidRPr="00656054" w14:paraId="776738E7" w14:textId="77777777" w:rsidTr="003A6C2E">
        <w:tc>
          <w:tcPr>
            <w:tcW w:w="988" w:type="dxa"/>
          </w:tcPr>
          <w:p w14:paraId="4EDC188B" w14:textId="2B9DA8B4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9" w:name="_Hlk174002753"/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126" w:type="dxa"/>
          </w:tcPr>
          <w:p w14:paraId="6CA6758B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80" w:type="dxa"/>
          </w:tcPr>
          <w:p w14:paraId="48F848A9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14:paraId="78085C46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09" w:type="dxa"/>
          </w:tcPr>
          <w:p w14:paraId="73C8E44F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09" w:type="dxa"/>
          </w:tcPr>
          <w:p w14:paraId="7CEBA6B4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209C" w:rsidRPr="00656054" w14:paraId="29E2F510" w14:textId="77777777" w:rsidTr="003A6C2E">
        <w:tc>
          <w:tcPr>
            <w:tcW w:w="988" w:type="dxa"/>
          </w:tcPr>
          <w:p w14:paraId="73FB9301" w14:textId="5A5DC32D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126" w:type="dxa"/>
          </w:tcPr>
          <w:p w14:paraId="154387B9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80" w:type="dxa"/>
          </w:tcPr>
          <w:p w14:paraId="5ABA8F82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14:paraId="42205D1F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09" w:type="dxa"/>
          </w:tcPr>
          <w:p w14:paraId="6EA14181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09" w:type="dxa"/>
          </w:tcPr>
          <w:p w14:paraId="3B5AEA80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209C" w:rsidRPr="00656054" w14:paraId="35AC3C9A" w14:textId="77777777" w:rsidTr="003A6C2E">
        <w:tc>
          <w:tcPr>
            <w:tcW w:w="988" w:type="dxa"/>
          </w:tcPr>
          <w:p w14:paraId="14F6D199" w14:textId="40390AAA" w:rsidR="0066209C" w:rsidRPr="00656054" w:rsidRDefault="0066209C" w:rsidP="00E1153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...</w:t>
            </w:r>
          </w:p>
        </w:tc>
        <w:tc>
          <w:tcPr>
            <w:tcW w:w="2126" w:type="dxa"/>
          </w:tcPr>
          <w:p w14:paraId="5BD3964C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80" w:type="dxa"/>
          </w:tcPr>
          <w:p w14:paraId="5F39D8E5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14:paraId="4942A9A0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09" w:type="dxa"/>
          </w:tcPr>
          <w:p w14:paraId="1D723033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09" w:type="dxa"/>
          </w:tcPr>
          <w:p w14:paraId="40AFDC89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209C" w:rsidRPr="00656054" w14:paraId="03032278" w14:textId="77777777" w:rsidTr="003A6C2E">
        <w:tc>
          <w:tcPr>
            <w:tcW w:w="988" w:type="dxa"/>
          </w:tcPr>
          <w:p w14:paraId="4B90E62E" w14:textId="27E2DAC8" w:rsidR="0066209C" w:rsidRPr="00656054" w:rsidRDefault="0066209C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2126" w:type="dxa"/>
          </w:tcPr>
          <w:p w14:paraId="10DB5B51" w14:textId="736940AB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80" w:type="dxa"/>
          </w:tcPr>
          <w:p w14:paraId="4A4AEC6C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9" w:type="dxa"/>
          </w:tcPr>
          <w:p w14:paraId="375CB557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09" w:type="dxa"/>
          </w:tcPr>
          <w:p w14:paraId="7AA596BB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609" w:type="dxa"/>
          </w:tcPr>
          <w:p w14:paraId="3D9472C1" w14:textId="77777777" w:rsidR="0066209C" w:rsidRPr="00656054" w:rsidRDefault="0066209C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bookmarkEnd w:id="9"/>
    </w:tbl>
    <w:p w14:paraId="75B88AA7" w14:textId="3F15FFD8" w:rsidR="00794029" w:rsidRPr="00656054" w:rsidRDefault="00794029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A38A9C3" w14:textId="5A999C90" w:rsidR="003A287F" w:rsidRDefault="00794029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2.2. Сведения о денежных средствах, привлеченных от физических лиц, являющихся учредителями (членами, участниками)</w:t>
      </w:r>
    </w:p>
    <w:p w14:paraId="5218325A" w14:textId="77777777" w:rsidR="00E11537" w:rsidRPr="00656054" w:rsidRDefault="00E11537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9"/>
        <w:gridCol w:w="1996"/>
        <w:gridCol w:w="2011"/>
        <w:gridCol w:w="1326"/>
        <w:gridCol w:w="1374"/>
        <w:gridCol w:w="865"/>
      </w:tblGrid>
      <w:tr w:rsidR="0047475A" w:rsidRPr="00656054" w14:paraId="10FFC529" w14:textId="77777777" w:rsidTr="0047475A">
        <w:tc>
          <w:tcPr>
            <w:tcW w:w="1512" w:type="dxa"/>
            <w:vMerge w:val="restart"/>
          </w:tcPr>
          <w:p w14:paraId="7C04AB60" w14:textId="3919DBA6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Порядк</w:t>
            </w:r>
            <w:r w:rsidR="00365DD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вый номер</w:t>
            </w:r>
          </w:p>
        </w:tc>
        <w:tc>
          <w:tcPr>
            <w:tcW w:w="2029" w:type="dxa"/>
            <w:vMerge w:val="restart"/>
          </w:tcPr>
          <w:p w14:paraId="3B5B9B41" w14:textId="37FA9C79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Наименование физического лица, предоставившего ломбарду денежные средства по договору займа за отчетный период</w:t>
            </w:r>
          </w:p>
          <w:p w14:paraId="5A2F8B98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  <w:vMerge w:val="restart"/>
          </w:tcPr>
          <w:p w14:paraId="6D0B1AA9" w14:textId="00140CA3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денежных средств, предоставленных ломбарду физическим лицом по договору займа и/или кредитному договору за отчетный период (тыс.сом)</w:t>
            </w:r>
          </w:p>
        </w:tc>
        <w:tc>
          <w:tcPr>
            <w:tcW w:w="3619" w:type="dxa"/>
            <w:gridSpan w:val="3"/>
          </w:tcPr>
          <w:p w14:paraId="5B5CC509" w14:textId="79499E3A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задолженности по договорам займа, заключенным с физическим лицом на конец отчетного периода</w:t>
            </w:r>
          </w:p>
        </w:tc>
      </w:tr>
      <w:tr w:rsidR="0047475A" w:rsidRPr="00656054" w14:paraId="514B5CA0" w14:textId="77777777" w:rsidTr="0047475A">
        <w:tc>
          <w:tcPr>
            <w:tcW w:w="1512" w:type="dxa"/>
            <w:vMerge/>
          </w:tcPr>
          <w:p w14:paraId="3F3B7609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29" w:type="dxa"/>
            <w:vMerge/>
          </w:tcPr>
          <w:p w14:paraId="672BFD53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  <w:vMerge/>
          </w:tcPr>
          <w:p w14:paraId="1DA252FD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46" w:type="dxa"/>
          </w:tcPr>
          <w:p w14:paraId="775674B8" w14:textId="4C78A451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основному долгу, тыс.сом</w:t>
            </w:r>
          </w:p>
        </w:tc>
        <w:tc>
          <w:tcPr>
            <w:tcW w:w="1396" w:type="dxa"/>
          </w:tcPr>
          <w:p w14:paraId="4AC8BB9E" w14:textId="0E0DACDB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 процентам, тыс.сом</w:t>
            </w:r>
          </w:p>
        </w:tc>
        <w:tc>
          <w:tcPr>
            <w:tcW w:w="877" w:type="dxa"/>
          </w:tcPr>
          <w:p w14:paraId="11D27125" w14:textId="5E0311EF" w:rsidR="0047475A" w:rsidRPr="00656054" w:rsidRDefault="0047475A" w:rsidP="00365D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Всего, тыс. сом</w:t>
            </w:r>
          </w:p>
        </w:tc>
      </w:tr>
      <w:tr w:rsidR="0047475A" w:rsidRPr="00656054" w14:paraId="3CB28E89" w14:textId="77777777" w:rsidTr="0047475A">
        <w:tc>
          <w:tcPr>
            <w:tcW w:w="1512" w:type="dxa"/>
          </w:tcPr>
          <w:p w14:paraId="532D4B34" w14:textId="2232D8D9" w:rsidR="003A287F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</w:t>
            </w:r>
          </w:p>
        </w:tc>
        <w:tc>
          <w:tcPr>
            <w:tcW w:w="2029" w:type="dxa"/>
          </w:tcPr>
          <w:p w14:paraId="0BAAE502" w14:textId="40AEC507" w:rsidR="003A287F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2044" w:type="dxa"/>
          </w:tcPr>
          <w:p w14:paraId="36202C68" w14:textId="4CECC5A4" w:rsidR="003A287F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</w:t>
            </w:r>
          </w:p>
        </w:tc>
        <w:tc>
          <w:tcPr>
            <w:tcW w:w="1346" w:type="dxa"/>
          </w:tcPr>
          <w:p w14:paraId="0B5471D8" w14:textId="3551F400" w:rsidR="003A287F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</w:t>
            </w:r>
          </w:p>
        </w:tc>
        <w:tc>
          <w:tcPr>
            <w:tcW w:w="1396" w:type="dxa"/>
          </w:tcPr>
          <w:p w14:paraId="41A019B3" w14:textId="3F0F2F5C" w:rsidR="003A287F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</w:t>
            </w:r>
          </w:p>
        </w:tc>
        <w:tc>
          <w:tcPr>
            <w:tcW w:w="877" w:type="dxa"/>
          </w:tcPr>
          <w:p w14:paraId="3606C4A4" w14:textId="30056BFD" w:rsidR="003A287F" w:rsidRPr="00656054" w:rsidRDefault="0047475A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</w:t>
            </w:r>
          </w:p>
        </w:tc>
      </w:tr>
      <w:tr w:rsidR="0047475A" w:rsidRPr="00656054" w14:paraId="697EF74D" w14:textId="77777777" w:rsidTr="0047475A">
        <w:tc>
          <w:tcPr>
            <w:tcW w:w="1512" w:type="dxa"/>
          </w:tcPr>
          <w:p w14:paraId="2912F823" w14:textId="209B75FA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029" w:type="dxa"/>
          </w:tcPr>
          <w:p w14:paraId="57C60C70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</w:tcPr>
          <w:p w14:paraId="63D80797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46" w:type="dxa"/>
          </w:tcPr>
          <w:p w14:paraId="71A82310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96" w:type="dxa"/>
          </w:tcPr>
          <w:p w14:paraId="5A561CA4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77" w:type="dxa"/>
          </w:tcPr>
          <w:p w14:paraId="349594EC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7475A" w:rsidRPr="00656054" w14:paraId="6B0ABFD6" w14:textId="77777777" w:rsidTr="0047475A">
        <w:tc>
          <w:tcPr>
            <w:tcW w:w="1512" w:type="dxa"/>
          </w:tcPr>
          <w:p w14:paraId="198934A7" w14:textId="0709B231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029" w:type="dxa"/>
          </w:tcPr>
          <w:p w14:paraId="3FB5B1B3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</w:tcPr>
          <w:p w14:paraId="386F015C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46" w:type="dxa"/>
          </w:tcPr>
          <w:p w14:paraId="1593FE64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96" w:type="dxa"/>
          </w:tcPr>
          <w:p w14:paraId="6992FF3E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77" w:type="dxa"/>
          </w:tcPr>
          <w:p w14:paraId="4756E136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7475A" w:rsidRPr="00656054" w14:paraId="5F0358A3" w14:textId="77777777" w:rsidTr="0047475A">
        <w:tc>
          <w:tcPr>
            <w:tcW w:w="1512" w:type="dxa"/>
          </w:tcPr>
          <w:p w14:paraId="7C27D3F9" w14:textId="1A05C863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...</w:t>
            </w:r>
          </w:p>
        </w:tc>
        <w:tc>
          <w:tcPr>
            <w:tcW w:w="2029" w:type="dxa"/>
          </w:tcPr>
          <w:p w14:paraId="1EFBF56A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</w:tcPr>
          <w:p w14:paraId="4302A405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46" w:type="dxa"/>
          </w:tcPr>
          <w:p w14:paraId="575B3CB7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96" w:type="dxa"/>
          </w:tcPr>
          <w:p w14:paraId="62351DB5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77" w:type="dxa"/>
          </w:tcPr>
          <w:p w14:paraId="2AC191CE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7475A" w:rsidRPr="00656054" w14:paraId="535D30C8" w14:textId="77777777" w:rsidTr="0047475A">
        <w:tc>
          <w:tcPr>
            <w:tcW w:w="1512" w:type="dxa"/>
          </w:tcPr>
          <w:p w14:paraId="38705EFA" w14:textId="6AE5357C" w:rsidR="0047475A" w:rsidRPr="00656054" w:rsidRDefault="0047475A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2029" w:type="dxa"/>
          </w:tcPr>
          <w:p w14:paraId="49F87D67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044" w:type="dxa"/>
          </w:tcPr>
          <w:p w14:paraId="5CEFB76D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46" w:type="dxa"/>
          </w:tcPr>
          <w:p w14:paraId="735CB6B9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396" w:type="dxa"/>
          </w:tcPr>
          <w:p w14:paraId="46DAC726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77" w:type="dxa"/>
          </w:tcPr>
          <w:p w14:paraId="5216E507" w14:textId="77777777" w:rsidR="0047475A" w:rsidRPr="00656054" w:rsidRDefault="0047475A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678B7BC0" w14:textId="77777777" w:rsidR="0047475A" w:rsidRPr="00656054" w:rsidRDefault="0047475A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F9F6E96" w14:textId="30766CD5" w:rsidR="009057E8" w:rsidRDefault="0047475A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2.3</w:t>
      </w:r>
      <w:r w:rsidR="009057E8" w:rsidRPr="00656054">
        <w:rPr>
          <w:rFonts w:ascii="Times New Roman" w:hAnsi="Times New Roman" w:cs="Times New Roman"/>
          <w:sz w:val="28"/>
          <w:szCs w:val="28"/>
          <w:lang w:val="ky-KG"/>
        </w:rPr>
        <w:t>. Общие сведения о денежных средствах, привлеченных ломбардом</w:t>
      </w:r>
    </w:p>
    <w:p w14:paraId="4A39E7D1" w14:textId="77777777" w:rsidR="00E11537" w:rsidRPr="00656054" w:rsidRDefault="00E11537" w:rsidP="00E115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53"/>
        <w:gridCol w:w="2274"/>
        <w:gridCol w:w="2269"/>
      </w:tblGrid>
      <w:tr w:rsidR="009057E8" w:rsidRPr="00656054" w14:paraId="3D1AD1AD" w14:textId="77777777" w:rsidTr="009057E8">
        <w:tc>
          <w:tcPr>
            <w:tcW w:w="2301" w:type="dxa"/>
          </w:tcPr>
          <w:p w14:paraId="28D3ACA4" w14:textId="717C5DE3" w:rsidR="009057E8" w:rsidRPr="00656054" w:rsidRDefault="009057E8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Общая сумма  денежных средств, привлеченных ломбардом за отетный период (тыс.сом)</w:t>
            </w:r>
          </w:p>
        </w:tc>
        <w:tc>
          <w:tcPr>
            <w:tcW w:w="2301" w:type="dxa"/>
          </w:tcPr>
          <w:p w14:paraId="5B92E90B" w14:textId="0F1702D6" w:rsidR="009057E8" w:rsidRPr="00656054" w:rsidRDefault="009057E8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Общее количество договоров займа, кредитных договоров, заключенных ломбардом за отчетный период (штук)</w:t>
            </w:r>
          </w:p>
        </w:tc>
        <w:tc>
          <w:tcPr>
            <w:tcW w:w="2301" w:type="dxa"/>
          </w:tcPr>
          <w:p w14:paraId="2E032031" w14:textId="541A430F" w:rsidR="009057E8" w:rsidRPr="00656054" w:rsidRDefault="009057E8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задолженности по основному долгу по займам и кредитам, привлеченным ломбардом, на конец отчетного периода (тыс.сом)</w:t>
            </w:r>
          </w:p>
        </w:tc>
        <w:tc>
          <w:tcPr>
            <w:tcW w:w="2301" w:type="dxa"/>
          </w:tcPr>
          <w:p w14:paraId="48F6BF6F" w14:textId="110DDB83" w:rsidR="009057E8" w:rsidRPr="00656054" w:rsidRDefault="009057E8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Сумма процентов, начисленных за отчетный период по привлеченным средствам по договорам займа и кредитным 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договорам (тыс.сом)</w:t>
            </w:r>
          </w:p>
        </w:tc>
      </w:tr>
      <w:tr w:rsidR="009057E8" w:rsidRPr="00656054" w14:paraId="1BC45BBB" w14:textId="77777777" w:rsidTr="009057E8">
        <w:tc>
          <w:tcPr>
            <w:tcW w:w="2301" w:type="dxa"/>
          </w:tcPr>
          <w:p w14:paraId="48EAB735" w14:textId="47DF1C1F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75</w:t>
            </w:r>
          </w:p>
        </w:tc>
        <w:tc>
          <w:tcPr>
            <w:tcW w:w="2301" w:type="dxa"/>
          </w:tcPr>
          <w:p w14:paraId="6F835287" w14:textId="12C89A00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</w:t>
            </w:r>
          </w:p>
        </w:tc>
        <w:tc>
          <w:tcPr>
            <w:tcW w:w="2301" w:type="dxa"/>
          </w:tcPr>
          <w:p w14:paraId="1C0202ED" w14:textId="11B77D07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</w:t>
            </w:r>
          </w:p>
        </w:tc>
        <w:tc>
          <w:tcPr>
            <w:tcW w:w="2301" w:type="dxa"/>
          </w:tcPr>
          <w:p w14:paraId="1436F792" w14:textId="1F1F9CE2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78</w:t>
            </w:r>
          </w:p>
        </w:tc>
      </w:tr>
      <w:tr w:rsidR="009057E8" w:rsidRPr="00656054" w14:paraId="65531BF5" w14:textId="77777777" w:rsidTr="009057E8">
        <w:tc>
          <w:tcPr>
            <w:tcW w:w="2301" w:type="dxa"/>
          </w:tcPr>
          <w:p w14:paraId="56FFD78B" w14:textId="77777777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01" w:type="dxa"/>
          </w:tcPr>
          <w:p w14:paraId="2FFCDBB2" w14:textId="77777777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01" w:type="dxa"/>
          </w:tcPr>
          <w:p w14:paraId="1284FA3B" w14:textId="77777777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301" w:type="dxa"/>
          </w:tcPr>
          <w:p w14:paraId="1280769D" w14:textId="77777777" w:rsidR="009057E8" w:rsidRPr="00656054" w:rsidRDefault="009057E8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69F1FD19" w14:textId="77777777" w:rsidR="009057E8" w:rsidRPr="00656054" w:rsidRDefault="009057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F99F4B8" w14:textId="78EF320E" w:rsidR="009057E8" w:rsidRPr="00656054" w:rsidRDefault="009057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 пункт 3 раздела II изложить в следующей редакции:</w:t>
      </w:r>
    </w:p>
    <w:p w14:paraId="5C69B108" w14:textId="77777777" w:rsidR="00A35422" w:rsidRPr="00656054" w:rsidRDefault="00A35422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E9D190E" w14:textId="035E5641" w:rsidR="00A35422" w:rsidRPr="00656054" w:rsidRDefault="00A35422" w:rsidP="00E72C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Пункт 3. Информация о страховании рисков  ломбарда, связанных с вещами, принятыми в залог</w:t>
      </w:r>
    </w:p>
    <w:p w14:paraId="441D627E" w14:textId="77777777" w:rsidR="00A35422" w:rsidRPr="00656054" w:rsidRDefault="00A35422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4"/>
        <w:gridCol w:w="1388"/>
        <w:gridCol w:w="1258"/>
        <w:gridCol w:w="1248"/>
        <w:gridCol w:w="1525"/>
        <w:gridCol w:w="1224"/>
        <w:gridCol w:w="1164"/>
      </w:tblGrid>
      <w:tr w:rsidR="00A35422" w:rsidRPr="00656054" w14:paraId="716C12CF" w14:textId="753BA557" w:rsidTr="00A35422">
        <w:tc>
          <w:tcPr>
            <w:tcW w:w="1272" w:type="dxa"/>
          </w:tcPr>
          <w:p w14:paraId="46EDFD39" w14:textId="6725050A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Количество договоров страхования вещей, принятых в залог, заключенных за отчетный период, (штук)</w:t>
            </w:r>
          </w:p>
        </w:tc>
        <w:tc>
          <w:tcPr>
            <w:tcW w:w="1410" w:type="dxa"/>
          </w:tcPr>
          <w:p w14:paraId="33184561" w14:textId="02A9157A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страховой премии (страховых взносов), уплаченной (уплаченных) за период ломбардом страховыми организациями (тыс.сом)</w:t>
            </w:r>
          </w:p>
        </w:tc>
        <w:tc>
          <w:tcPr>
            <w:tcW w:w="1278" w:type="dxa"/>
          </w:tcPr>
          <w:p w14:paraId="452A73A1" w14:textId="3D41ABC9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Страховая сумма, на</w:t>
            </w:r>
            <w:r w:rsidR="00E30D18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которую застрахованы вещи, принятые в залог, на конец отчетного периода (тыс.сом)</w:t>
            </w:r>
          </w:p>
        </w:tc>
        <w:tc>
          <w:tcPr>
            <w:tcW w:w="1268" w:type="dxa"/>
          </w:tcPr>
          <w:p w14:paraId="08A2B5B8" w14:textId="55429148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Количество страховых случаев, наступивших за отчетный период, (штук)</w:t>
            </w:r>
          </w:p>
        </w:tc>
        <w:tc>
          <w:tcPr>
            <w:tcW w:w="1550" w:type="dxa"/>
          </w:tcPr>
          <w:p w14:paraId="6521F93B" w14:textId="2ED7976F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выплат по страховым случаям, осуществленных страховыми организациями за отчетный период, (тыс.сом)</w:t>
            </w:r>
          </w:p>
        </w:tc>
        <w:tc>
          <w:tcPr>
            <w:tcW w:w="1244" w:type="dxa"/>
          </w:tcPr>
          <w:p w14:paraId="63633EC6" w14:textId="7D6A5AE7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Сумма оценки вещей, находящихся в ломбарде на конец отчетного периода</w:t>
            </w:r>
          </w:p>
        </w:tc>
        <w:tc>
          <w:tcPr>
            <w:tcW w:w="1182" w:type="dxa"/>
          </w:tcPr>
          <w:p w14:paraId="0C42F737" w14:textId="01539298" w:rsidR="00A35422" w:rsidRPr="00656054" w:rsidRDefault="00A35422" w:rsidP="00E115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Количество договоров страхования вещей, принятых в залог, на конец отчетного периода (штук)</w:t>
            </w:r>
          </w:p>
        </w:tc>
      </w:tr>
      <w:tr w:rsidR="00A35422" w:rsidRPr="00656054" w14:paraId="7EB06E56" w14:textId="0012AF28" w:rsidTr="00A35422">
        <w:tc>
          <w:tcPr>
            <w:tcW w:w="1272" w:type="dxa"/>
          </w:tcPr>
          <w:p w14:paraId="5A1A8A15" w14:textId="6375160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79</w:t>
            </w:r>
          </w:p>
        </w:tc>
        <w:tc>
          <w:tcPr>
            <w:tcW w:w="1410" w:type="dxa"/>
          </w:tcPr>
          <w:p w14:paraId="47301D46" w14:textId="76DC1732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  <w:tc>
          <w:tcPr>
            <w:tcW w:w="1278" w:type="dxa"/>
          </w:tcPr>
          <w:p w14:paraId="1BDFD183" w14:textId="71BCA2EA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81</w:t>
            </w:r>
          </w:p>
        </w:tc>
        <w:tc>
          <w:tcPr>
            <w:tcW w:w="1268" w:type="dxa"/>
          </w:tcPr>
          <w:p w14:paraId="74754236" w14:textId="0B5C18AA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82</w:t>
            </w:r>
          </w:p>
        </w:tc>
        <w:tc>
          <w:tcPr>
            <w:tcW w:w="1550" w:type="dxa"/>
          </w:tcPr>
          <w:p w14:paraId="517A1797" w14:textId="6D8D7379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83</w:t>
            </w:r>
          </w:p>
        </w:tc>
        <w:tc>
          <w:tcPr>
            <w:tcW w:w="1244" w:type="dxa"/>
          </w:tcPr>
          <w:p w14:paraId="53E7CD00" w14:textId="52A4043B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84</w:t>
            </w:r>
          </w:p>
        </w:tc>
        <w:tc>
          <w:tcPr>
            <w:tcW w:w="1182" w:type="dxa"/>
          </w:tcPr>
          <w:p w14:paraId="67D65185" w14:textId="210AD3D1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85</w:t>
            </w:r>
          </w:p>
        </w:tc>
      </w:tr>
      <w:tr w:rsidR="00A35422" w:rsidRPr="00656054" w14:paraId="3A3144DD" w14:textId="77777777" w:rsidTr="00A35422">
        <w:tc>
          <w:tcPr>
            <w:tcW w:w="1272" w:type="dxa"/>
          </w:tcPr>
          <w:p w14:paraId="7125650D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0" w:type="dxa"/>
          </w:tcPr>
          <w:p w14:paraId="42A2885A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8" w:type="dxa"/>
          </w:tcPr>
          <w:p w14:paraId="7055BC6F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68" w:type="dxa"/>
          </w:tcPr>
          <w:p w14:paraId="242AE311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50" w:type="dxa"/>
          </w:tcPr>
          <w:p w14:paraId="1C55B6A7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44" w:type="dxa"/>
          </w:tcPr>
          <w:p w14:paraId="1F4CF658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82" w:type="dxa"/>
          </w:tcPr>
          <w:p w14:paraId="669340FE" w14:textId="77777777" w:rsidR="00A35422" w:rsidRPr="00656054" w:rsidRDefault="00A35422" w:rsidP="0065605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7AEED6E0" w14:textId="77777777" w:rsidR="009057E8" w:rsidRPr="00656054" w:rsidRDefault="009057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08FBAED" w14:textId="1A6FDD96" w:rsidR="009A10D3" w:rsidRPr="00656054" w:rsidRDefault="00A049E8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9A10D3"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81F1E" w:rsidRPr="00656054">
        <w:rPr>
          <w:rFonts w:ascii="Times New Roman" w:hAnsi="Times New Roman" w:cs="Times New Roman"/>
          <w:sz w:val="28"/>
          <w:szCs w:val="28"/>
          <w:lang w:val="ky-KG"/>
        </w:rPr>
        <w:t>пункт 4 раздела II в нумерации столбцов цифры «72, 73, 74» заменить на цифры «86, 87, 88» соответственно;</w:t>
      </w:r>
    </w:p>
    <w:p w14:paraId="7140C6D2" w14:textId="2304B558" w:rsidR="000C3F2E" w:rsidRPr="00656054" w:rsidRDefault="00505635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-  раздел </w:t>
      </w:r>
      <w:r w:rsidRPr="006560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6054">
        <w:rPr>
          <w:rFonts w:ascii="Times New Roman" w:hAnsi="Times New Roman" w:cs="Times New Roman"/>
          <w:sz w:val="28"/>
          <w:szCs w:val="28"/>
          <w:lang w:val="ky-KG"/>
        </w:rPr>
        <w:t xml:space="preserve"> изложить в следующей редакции:</w:t>
      </w:r>
    </w:p>
    <w:p w14:paraId="4E709C40" w14:textId="77777777" w:rsidR="00EC4094" w:rsidRPr="00656054" w:rsidRDefault="00EC4094" w:rsidP="0065605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F3D471" w14:textId="1708681D" w:rsidR="000C3F2E" w:rsidRPr="00656054" w:rsidRDefault="00371DF1" w:rsidP="00656054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Раздел III. </w:t>
      </w:r>
      <w:r w:rsidR="000C3F2E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Балансовые показатели</w:t>
      </w:r>
    </w:p>
    <w:p w14:paraId="7D864D71" w14:textId="572F8CDA" w:rsidR="00923F88" w:rsidRPr="00656054" w:rsidRDefault="00A95186" w:rsidP="00A95186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</w:t>
      </w:r>
      <w:r w:rsidR="000C3F2E" w:rsidRPr="00656054">
        <w:rPr>
          <w:rFonts w:ascii="Times New Roman" w:hAnsi="Times New Roman" w:cs="Times New Roman"/>
          <w:sz w:val="28"/>
          <w:szCs w:val="28"/>
        </w:rPr>
        <w:t>тыс. сом</w:t>
      </w:r>
    </w:p>
    <w:tbl>
      <w:tblPr>
        <w:tblW w:w="4615" w:type="pct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5227"/>
        <w:gridCol w:w="1642"/>
      </w:tblGrid>
      <w:tr w:rsidR="000C3F2E" w:rsidRPr="00656054" w14:paraId="393E6575" w14:textId="77777777" w:rsidTr="00371DF1"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EA6A" w14:textId="70158920" w:rsidR="000C3F2E" w:rsidRPr="00656054" w:rsidRDefault="000C3F2E" w:rsidP="00E609A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GoBack"/>
            <w:bookmarkEnd w:id="10"/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3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BFEB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8B4A" w14:textId="77777777" w:rsidR="000C3F2E" w:rsidRPr="00656054" w:rsidRDefault="000C3F2E" w:rsidP="00E609A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C3F2E" w:rsidRPr="00656054" w14:paraId="1ACDB22F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0F99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2F1B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066F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F2E" w:rsidRPr="00656054" w14:paraId="512D2578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7117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6C27" w14:textId="77777777" w:rsidR="000C3F2E" w:rsidRPr="00656054" w:rsidRDefault="000C3F2E" w:rsidP="006A789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Активы,</w:t>
            </w: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E41E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3E644535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4CE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16E0" w14:textId="5BB23381" w:rsidR="000C3F2E" w:rsidRPr="00656054" w:rsidRDefault="00E30D18" w:rsidP="006A789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proofErr w:type="spellStart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>енежные</w:t>
            </w:r>
            <w:proofErr w:type="spellEnd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средства, в том числе: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5FA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EB54CE6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D20E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1.1.1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27B9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на расчетном счете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A65F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6B641FAD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EAD9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1.2.1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51C2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в кассе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71E4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6F61C478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26C1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C482" w14:textId="58012EC7" w:rsidR="000C3F2E" w:rsidRPr="00656054" w:rsidRDefault="00E30D18" w:rsidP="006A789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proofErr w:type="spellStart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>инансовые</w:t>
            </w:r>
            <w:proofErr w:type="spellEnd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вложения, в т.ч. в депозиты в банки и прочие ФКУ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7595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5711D16E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2CC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7C07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задолженность, </w:t>
            </w:r>
          </w:p>
          <w:p w14:paraId="394D044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6C83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75C3E8B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3BC1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04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займы выданные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771C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01D6C73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3E6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C795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проценты к получению по выданным займам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8FC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77078627" w14:textId="77777777" w:rsidTr="00371DF1">
        <w:trPr>
          <w:trHeight w:val="34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5E5B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9617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прочая дебиторская задолженность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9958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7166C00E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876B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FA73" w14:textId="1A64D3DC" w:rsidR="000C3F2E" w:rsidRPr="00656054" w:rsidRDefault="00E30D18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0C3F2E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оварно-материальные запасы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DAE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61296612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BC85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EF4A" w14:textId="5B3EDF9C" w:rsidR="000C3F2E" w:rsidRPr="00656054" w:rsidRDefault="00E30D18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D3D4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612B3428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BCA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F1CF" w14:textId="48CE71C9" w:rsidR="000C3F2E" w:rsidRPr="00656054" w:rsidRDefault="00E30D18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proofErr w:type="spellEnd"/>
            <w:r w:rsidR="000C3F2E"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6811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161D7839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D685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8D0D" w14:textId="77777777" w:rsidR="000C3F2E" w:rsidRPr="00656054" w:rsidRDefault="000C3F2E" w:rsidP="006A789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Обязательства,</w:t>
            </w: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F24F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22BB05D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D0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534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заемные средства, в том числе: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936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2AD445F6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AB9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78F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проценты, начисленные по заемным средствам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11F1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2A2325A6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A810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4268" w14:textId="03C42076" w:rsidR="000C3F2E" w:rsidRPr="00656054" w:rsidRDefault="00E30D18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0C3F2E"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алоги к оплате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6C64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1802CBE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2BAC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5605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1B36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A328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49BCBCD9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4E7C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E69A" w14:textId="77777777" w:rsidR="000C3F2E" w:rsidRPr="00656054" w:rsidRDefault="000C3F2E" w:rsidP="006A789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</w:t>
            </w: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9004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2E" w:rsidRPr="00656054" w14:paraId="22DA9232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B10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AF2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B2A1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5D66ABFA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5B7C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7D4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402D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1995C22E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8769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AF12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1CE8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44B79DE5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26A5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49CE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30B7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F2E" w:rsidRPr="00656054" w14:paraId="5718E359" w14:textId="77777777" w:rsidTr="00371DF1"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239F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64E7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прочие составляющие капитала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B91A" w14:textId="77777777" w:rsidR="000C3F2E" w:rsidRPr="00656054" w:rsidRDefault="000C3F2E" w:rsidP="00656054">
            <w:pPr>
              <w:pStyle w:val="tkTablica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967C48B" w14:textId="75FE9626" w:rsidR="00873E3A" w:rsidRDefault="00873E3A" w:rsidP="00E72C4E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2D332B4" w14:textId="3B4D09D1" w:rsidR="00E11537" w:rsidRDefault="00E11537" w:rsidP="00E72C4E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57E7C62" w14:textId="77777777" w:rsidR="00E11537" w:rsidRPr="00656054" w:rsidRDefault="00E11537" w:rsidP="00E72C4E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5595547" w14:textId="74DCCE3B" w:rsidR="00EF7FCC" w:rsidRPr="00656054" w:rsidRDefault="00EF7FCC" w:rsidP="0065605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Председатель </w:t>
      </w:r>
    </w:p>
    <w:p w14:paraId="262786C3" w14:textId="07327FAF" w:rsidR="00EF7FCC" w:rsidRPr="00656054" w:rsidRDefault="00EF7FCC" w:rsidP="0065605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Кабинета Министров</w:t>
      </w:r>
    </w:p>
    <w:p w14:paraId="6C87CE63" w14:textId="4BCD4C66" w:rsidR="00EF7FCC" w:rsidRPr="00656054" w:rsidRDefault="00EF7FCC" w:rsidP="0065605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Кыргызской </w:t>
      </w:r>
      <w:r w:rsidR="002B40DA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Р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еспублики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C97FA5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А.У.</w:t>
      </w:r>
      <w:r w:rsidR="002B40DA"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656054">
        <w:rPr>
          <w:rFonts w:ascii="Times New Roman" w:hAnsi="Times New Roman" w:cs="Times New Roman"/>
          <w:b/>
          <w:bCs/>
          <w:sz w:val="28"/>
          <w:szCs w:val="28"/>
          <w:lang w:val="ky-KG"/>
        </w:rPr>
        <w:t>Жапаров</w:t>
      </w:r>
      <w:bookmarkEnd w:id="1"/>
    </w:p>
    <w:sectPr w:rsidR="00EF7FCC" w:rsidRPr="00656054" w:rsidSect="00E11537">
      <w:footerReference w:type="default" r:id="rId10"/>
      <w:footerReference w:type="first" r:id="rId11"/>
      <w:pgSz w:w="11906" w:h="16838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DB00" w14:textId="77777777" w:rsidR="00536ABA" w:rsidRDefault="00536ABA" w:rsidP="00EC4094">
      <w:pPr>
        <w:spacing w:after="0" w:line="240" w:lineRule="auto"/>
      </w:pPr>
      <w:r>
        <w:separator/>
      </w:r>
    </w:p>
  </w:endnote>
  <w:endnote w:type="continuationSeparator" w:id="0">
    <w:p w14:paraId="7439D4E1" w14:textId="77777777" w:rsidR="00536ABA" w:rsidRDefault="00536ABA" w:rsidP="00EC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43116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3C2B93B" w14:textId="2A6651AF" w:rsidR="00EC4094" w:rsidRPr="002B40DA" w:rsidRDefault="00EC4094">
        <w:pPr>
          <w:pStyle w:val="a8"/>
          <w:jc w:val="right"/>
          <w:rPr>
            <w:rFonts w:ascii="Times New Roman" w:hAnsi="Times New Roman"/>
            <w:sz w:val="28"/>
            <w:szCs w:val="28"/>
          </w:rPr>
        </w:pPr>
        <w:r w:rsidRPr="002B40DA">
          <w:rPr>
            <w:rFonts w:ascii="Times New Roman" w:hAnsi="Times New Roman"/>
            <w:sz w:val="28"/>
            <w:szCs w:val="28"/>
          </w:rPr>
          <w:fldChar w:fldCharType="begin"/>
        </w:r>
        <w:r w:rsidRPr="002B40D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B40DA">
          <w:rPr>
            <w:rFonts w:ascii="Times New Roman" w:hAnsi="Times New Roman"/>
            <w:sz w:val="28"/>
            <w:szCs w:val="28"/>
          </w:rPr>
          <w:fldChar w:fldCharType="separate"/>
        </w:r>
        <w:r w:rsidRPr="002B40DA">
          <w:rPr>
            <w:rFonts w:ascii="Times New Roman" w:hAnsi="Times New Roman"/>
            <w:sz w:val="28"/>
            <w:szCs w:val="28"/>
          </w:rPr>
          <w:t>2</w:t>
        </w:r>
        <w:r w:rsidRPr="002B40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947A54" w14:textId="77777777" w:rsidR="00D52FA5" w:rsidRPr="00D52FA5" w:rsidRDefault="00D52FA5" w:rsidP="00D52FA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0"/>
        <w:sz w:val="20"/>
        <w:szCs w:val="20"/>
        <w:lang w:val="ky-KG"/>
      </w:rPr>
    </w:pPr>
    <w:r w:rsidRPr="00D52FA5">
      <w:rPr>
        <w:rFonts w:ascii="Times New Roman" w:hAnsi="Times New Roman"/>
        <w:kern w:val="0"/>
        <w:sz w:val="20"/>
        <w:szCs w:val="20"/>
        <w:lang w:val="ky-KG"/>
      </w:rPr>
      <w:t>Министр экономики и коммерции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  <w:t>Д.Дж. Амангельдиев</w:t>
    </w:r>
  </w:p>
  <w:p w14:paraId="0F25B159" w14:textId="77777777" w:rsidR="00D52FA5" w:rsidRPr="00D52FA5" w:rsidRDefault="00D52FA5" w:rsidP="00D52FA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0"/>
        <w:sz w:val="20"/>
        <w:szCs w:val="20"/>
      </w:rPr>
    </w:pPr>
    <w:r w:rsidRPr="00D52FA5">
      <w:rPr>
        <w:rFonts w:ascii="Times New Roman" w:hAnsi="Times New Roman"/>
        <w:kern w:val="0"/>
        <w:sz w:val="20"/>
        <w:szCs w:val="20"/>
        <w:lang w:val="ky-KG"/>
      </w:rPr>
      <w:t>Кыргызской Республики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  <w:t xml:space="preserve">                ____________________________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</w:r>
    <w:r w:rsidRPr="00D52FA5">
      <w:rPr>
        <w:rFonts w:ascii="Times New Roman" w:hAnsi="Times New Roman"/>
        <w:kern w:val="0"/>
        <w:sz w:val="20"/>
        <w:szCs w:val="20"/>
      </w:rPr>
      <w:t>«____»_________202</w:t>
    </w:r>
    <w:r w:rsidRPr="00D52FA5">
      <w:rPr>
        <w:rFonts w:ascii="Times New Roman" w:hAnsi="Times New Roman"/>
        <w:kern w:val="0"/>
        <w:sz w:val="20"/>
        <w:szCs w:val="20"/>
        <w:lang w:val="ky-KG"/>
      </w:rPr>
      <w:t>4</w:t>
    </w:r>
    <w:r w:rsidRPr="00D52FA5">
      <w:rPr>
        <w:rFonts w:ascii="Times New Roman" w:hAnsi="Times New Roman"/>
        <w:kern w:val="0"/>
        <w:sz w:val="20"/>
        <w:szCs w:val="20"/>
      </w:rPr>
      <w:t>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4CD5C" w14:textId="77777777" w:rsidR="00D52FA5" w:rsidRPr="00D52FA5" w:rsidRDefault="00D52FA5" w:rsidP="00D52FA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0"/>
        <w:sz w:val="20"/>
        <w:szCs w:val="20"/>
        <w:lang w:val="ky-KG"/>
      </w:rPr>
    </w:pPr>
    <w:bookmarkStart w:id="11" w:name="_Hlk138929141"/>
    <w:bookmarkStart w:id="12" w:name="_Hlk138929142"/>
    <w:r w:rsidRPr="00D52FA5">
      <w:rPr>
        <w:rFonts w:ascii="Times New Roman" w:hAnsi="Times New Roman"/>
        <w:kern w:val="0"/>
        <w:sz w:val="20"/>
        <w:szCs w:val="20"/>
        <w:lang w:val="ky-KG"/>
      </w:rPr>
      <w:t>Министр экономики и коммерции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  <w:t>Д.Дж. Амангельдиев</w:t>
    </w:r>
  </w:p>
  <w:p w14:paraId="0E9719DE" w14:textId="77777777" w:rsidR="00D52FA5" w:rsidRPr="00D52FA5" w:rsidRDefault="00D52FA5" w:rsidP="00D52FA5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kern w:val="0"/>
        <w:sz w:val="20"/>
        <w:szCs w:val="20"/>
      </w:rPr>
    </w:pPr>
    <w:r w:rsidRPr="00D52FA5">
      <w:rPr>
        <w:rFonts w:ascii="Times New Roman" w:hAnsi="Times New Roman"/>
        <w:kern w:val="0"/>
        <w:sz w:val="20"/>
        <w:szCs w:val="20"/>
        <w:lang w:val="ky-KG"/>
      </w:rPr>
      <w:t>Кыргызской Республики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  <w:t xml:space="preserve">                ____________________________</w:t>
    </w:r>
    <w:r w:rsidRPr="00D52FA5">
      <w:rPr>
        <w:rFonts w:ascii="Times New Roman" w:hAnsi="Times New Roman"/>
        <w:kern w:val="0"/>
        <w:sz w:val="20"/>
        <w:szCs w:val="20"/>
        <w:lang w:val="ky-KG"/>
      </w:rPr>
      <w:tab/>
    </w:r>
    <w:r w:rsidRPr="00D52FA5">
      <w:rPr>
        <w:rFonts w:ascii="Times New Roman" w:hAnsi="Times New Roman"/>
        <w:kern w:val="0"/>
        <w:sz w:val="20"/>
        <w:szCs w:val="20"/>
      </w:rPr>
      <w:t>«____»_________202</w:t>
    </w:r>
    <w:r w:rsidRPr="00D52FA5">
      <w:rPr>
        <w:rFonts w:ascii="Times New Roman" w:hAnsi="Times New Roman"/>
        <w:kern w:val="0"/>
        <w:sz w:val="20"/>
        <w:szCs w:val="20"/>
        <w:lang w:val="ky-KG"/>
      </w:rPr>
      <w:t>4</w:t>
    </w:r>
    <w:r w:rsidRPr="00D52FA5">
      <w:rPr>
        <w:rFonts w:ascii="Times New Roman" w:hAnsi="Times New Roman"/>
        <w:kern w:val="0"/>
        <w:sz w:val="20"/>
        <w:szCs w:val="20"/>
      </w:rPr>
      <w:t>г.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C2C5" w14:textId="77777777" w:rsidR="00536ABA" w:rsidRDefault="00536ABA" w:rsidP="00EC4094">
      <w:pPr>
        <w:spacing w:after="0" w:line="240" w:lineRule="auto"/>
      </w:pPr>
      <w:r>
        <w:separator/>
      </w:r>
    </w:p>
  </w:footnote>
  <w:footnote w:type="continuationSeparator" w:id="0">
    <w:p w14:paraId="415DD0A1" w14:textId="77777777" w:rsidR="00536ABA" w:rsidRDefault="00536ABA" w:rsidP="00EC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307"/>
    <w:multiLevelType w:val="hybridMultilevel"/>
    <w:tmpl w:val="7ECC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3F9E"/>
    <w:multiLevelType w:val="hybridMultilevel"/>
    <w:tmpl w:val="6F826774"/>
    <w:lvl w:ilvl="0" w:tplc="DD3E1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5341CE"/>
    <w:multiLevelType w:val="hybridMultilevel"/>
    <w:tmpl w:val="8CB47CD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7A1B78"/>
    <w:multiLevelType w:val="hybridMultilevel"/>
    <w:tmpl w:val="03621E14"/>
    <w:lvl w:ilvl="0" w:tplc="26D2A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195E5B"/>
    <w:multiLevelType w:val="hybridMultilevel"/>
    <w:tmpl w:val="FF0E5C86"/>
    <w:lvl w:ilvl="0" w:tplc="B1BC1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16332"/>
    <w:multiLevelType w:val="hybridMultilevel"/>
    <w:tmpl w:val="D626EF5C"/>
    <w:lvl w:ilvl="0" w:tplc="8B1056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7E7554"/>
    <w:multiLevelType w:val="hybridMultilevel"/>
    <w:tmpl w:val="8CB47CDE"/>
    <w:lvl w:ilvl="0" w:tplc="7B7CAC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6D5B71"/>
    <w:multiLevelType w:val="hybridMultilevel"/>
    <w:tmpl w:val="84986402"/>
    <w:lvl w:ilvl="0" w:tplc="41FA69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E"/>
    <w:rsid w:val="00004D3D"/>
    <w:rsid w:val="000110E1"/>
    <w:rsid w:val="00022C7D"/>
    <w:rsid w:val="00026E40"/>
    <w:rsid w:val="0006157C"/>
    <w:rsid w:val="00066635"/>
    <w:rsid w:val="0008372D"/>
    <w:rsid w:val="000970EC"/>
    <w:rsid w:val="000B17F4"/>
    <w:rsid w:val="000B38A0"/>
    <w:rsid w:val="000C1244"/>
    <w:rsid w:val="000C3F2E"/>
    <w:rsid w:val="000D109F"/>
    <w:rsid w:val="000D6C63"/>
    <w:rsid w:val="000E7791"/>
    <w:rsid w:val="00120775"/>
    <w:rsid w:val="001207AA"/>
    <w:rsid w:val="00122B31"/>
    <w:rsid w:val="00123BFF"/>
    <w:rsid w:val="00124514"/>
    <w:rsid w:val="001613D7"/>
    <w:rsid w:val="001846AB"/>
    <w:rsid w:val="00184F89"/>
    <w:rsid w:val="001958BF"/>
    <w:rsid w:val="001A67D6"/>
    <w:rsid w:val="001B2D88"/>
    <w:rsid w:val="001C37C5"/>
    <w:rsid w:val="001C5286"/>
    <w:rsid w:val="001F0B79"/>
    <w:rsid w:val="001F4158"/>
    <w:rsid w:val="00226250"/>
    <w:rsid w:val="00226B00"/>
    <w:rsid w:val="00237D93"/>
    <w:rsid w:val="002601E9"/>
    <w:rsid w:val="00280FC7"/>
    <w:rsid w:val="00281F1E"/>
    <w:rsid w:val="00284F5E"/>
    <w:rsid w:val="002A014B"/>
    <w:rsid w:val="002B40DA"/>
    <w:rsid w:val="002B4E59"/>
    <w:rsid w:val="002C1162"/>
    <w:rsid w:val="002C788D"/>
    <w:rsid w:val="002D012E"/>
    <w:rsid w:val="002D38A6"/>
    <w:rsid w:val="00313FB5"/>
    <w:rsid w:val="00321313"/>
    <w:rsid w:val="0033049A"/>
    <w:rsid w:val="00337B46"/>
    <w:rsid w:val="00342815"/>
    <w:rsid w:val="00342826"/>
    <w:rsid w:val="00365B47"/>
    <w:rsid w:val="00365DDF"/>
    <w:rsid w:val="00371DF1"/>
    <w:rsid w:val="003A287F"/>
    <w:rsid w:val="003A6C2E"/>
    <w:rsid w:val="003B6F28"/>
    <w:rsid w:val="003C526D"/>
    <w:rsid w:val="00401BDB"/>
    <w:rsid w:val="0044191D"/>
    <w:rsid w:val="0047475A"/>
    <w:rsid w:val="0048635F"/>
    <w:rsid w:val="004873E9"/>
    <w:rsid w:val="00491D34"/>
    <w:rsid w:val="004A115A"/>
    <w:rsid w:val="004A6A3D"/>
    <w:rsid w:val="004A7B54"/>
    <w:rsid w:val="004B45A2"/>
    <w:rsid w:val="004D34EB"/>
    <w:rsid w:val="004E3E49"/>
    <w:rsid w:val="004E46E4"/>
    <w:rsid w:val="00505635"/>
    <w:rsid w:val="00521F0E"/>
    <w:rsid w:val="00531F06"/>
    <w:rsid w:val="00536ABA"/>
    <w:rsid w:val="00537BCB"/>
    <w:rsid w:val="00541430"/>
    <w:rsid w:val="00550017"/>
    <w:rsid w:val="00564E3D"/>
    <w:rsid w:val="005929CF"/>
    <w:rsid w:val="005B45A6"/>
    <w:rsid w:val="00656054"/>
    <w:rsid w:val="0066209C"/>
    <w:rsid w:val="00680DFF"/>
    <w:rsid w:val="00681A29"/>
    <w:rsid w:val="00690A1E"/>
    <w:rsid w:val="006945B5"/>
    <w:rsid w:val="006A1249"/>
    <w:rsid w:val="006A789E"/>
    <w:rsid w:val="006C2E8A"/>
    <w:rsid w:val="006D4D0A"/>
    <w:rsid w:val="006D598A"/>
    <w:rsid w:val="006D5F70"/>
    <w:rsid w:val="00731B63"/>
    <w:rsid w:val="00765BAF"/>
    <w:rsid w:val="00780FA8"/>
    <w:rsid w:val="00794029"/>
    <w:rsid w:val="007A1E29"/>
    <w:rsid w:val="007A7EF9"/>
    <w:rsid w:val="007C3096"/>
    <w:rsid w:val="007C7B46"/>
    <w:rsid w:val="007E609D"/>
    <w:rsid w:val="007F416D"/>
    <w:rsid w:val="0080359A"/>
    <w:rsid w:val="00835864"/>
    <w:rsid w:val="00843C85"/>
    <w:rsid w:val="00867A86"/>
    <w:rsid w:val="00867F80"/>
    <w:rsid w:val="00873E3A"/>
    <w:rsid w:val="0088435C"/>
    <w:rsid w:val="008C7A0B"/>
    <w:rsid w:val="00900D17"/>
    <w:rsid w:val="00901C1B"/>
    <w:rsid w:val="009057E8"/>
    <w:rsid w:val="009155BC"/>
    <w:rsid w:val="00923F88"/>
    <w:rsid w:val="0094177F"/>
    <w:rsid w:val="00941E5B"/>
    <w:rsid w:val="009508F2"/>
    <w:rsid w:val="00971194"/>
    <w:rsid w:val="009817C7"/>
    <w:rsid w:val="009A10D3"/>
    <w:rsid w:val="009C6037"/>
    <w:rsid w:val="009E1300"/>
    <w:rsid w:val="009F0707"/>
    <w:rsid w:val="00A01F41"/>
    <w:rsid w:val="00A02455"/>
    <w:rsid w:val="00A049E8"/>
    <w:rsid w:val="00A15625"/>
    <w:rsid w:val="00A21942"/>
    <w:rsid w:val="00A2249C"/>
    <w:rsid w:val="00A35422"/>
    <w:rsid w:val="00A40103"/>
    <w:rsid w:val="00A452F3"/>
    <w:rsid w:val="00A95186"/>
    <w:rsid w:val="00AA2BE8"/>
    <w:rsid w:val="00AB0D6D"/>
    <w:rsid w:val="00AC4C65"/>
    <w:rsid w:val="00AD1943"/>
    <w:rsid w:val="00AF5DE5"/>
    <w:rsid w:val="00B00D2E"/>
    <w:rsid w:val="00B31340"/>
    <w:rsid w:val="00B33E28"/>
    <w:rsid w:val="00B41C76"/>
    <w:rsid w:val="00B444E0"/>
    <w:rsid w:val="00B6105B"/>
    <w:rsid w:val="00B96138"/>
    <w:rsid w:val="00BC1C26"/>
    <w:rsid w:val="00BF7BC0"/>
    <w:rsid w:val="00C5417A"/>
    <w:rsid w:val="00C87DB6"/>
    <w:rsid w:val="00C97FA5"/>
    <w:rsid w:val="00CA01C9"/>
    <w:rsid w:val="00CB59E6"/>
    <w:rsid w:val="00CD4B55"/>
    <w:rsid w:val="00D00F25"/>
    <w:rsid w:val="00D06570"/>
    <w:rsid w:val="00D161B9"/>
    <w:rsid w:val="00D52FA5"/>
    <w:rsid w:val="00D73110"/>
    <w:rsid w:val="00D82372"/>
    <w:rsid w:val="00DA5E00"/>
    <w:rsid w:val="00E0694B"/>
    <w:rsid w:val="00E11537"/>
    <w:rsid w:val="00E30D18"/>
    <w:rsid w:val="00E340F7"/>
    <w:rsid w:val="00E500CB"/>
    <w:rsid w:val="00E609A7"/>
    <w:rsid w:val="00E658AF"/>
    <w:rsid w:val="00E71E41"/>
    <w:rsid w:val="00E72C4E"/>
    <w:rsid w:val="00E83B6B"/>
    <w:rsid w:val="00EA405A"/>
    <w:rsid w:val="00EC4094"/>
    <w:rsid w:val="00EF7FCC"/>
    <w:rsid w:val="00F12E26"/>
    <w:rsid w:val="00F44B67"/>
    <w:rsid w:val="00F62D5B"/>
    <w:rsid w:val="00F671DB"/>
    <w:rsid w:val="00F8466C"/>
    <w:rsid w:val="00FA6C4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088B"/>
  <w15:chartTrackingRefBased/>
  <w15:docId w15:val="{78843684-D666-47A8-A3A5-B1A6FD24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F2E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A0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paragraph" w:styleId="a4">
    <w:name w:val="No Spacing"/>
    <w:uiPriority w:val="1"/>
    <w:qFormat/>
    <w:rsid w:val="003C526D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3C526D"/>
    <w:rPr>
      <w:color w:val="666666"/>
    </w:rPr>
  </w:style>
  <w:style w:type="paragraph" w:customStyle="1" w:styleId="tkZagolovok2">
    <w:name w:val="_Заголовок Раздел (tkZagolovok2)"/>
    <w:basedOn w:val="a"/>
    <w:rsid w:val="000C3F2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C3F2E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C3F2E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C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094"/>
    <w:rPr>
      <w:rFonts w:ascii="Calibri" w:eastAsia="Calibri" w:hAnsi="Calibri" w:cs="Times New Roman"/>
      <w14:ligatures w14:val="none"/>
    </w:rPr>
  </w:style>
  <w:style w:type="paragraph" w:styleId="a8">
    <w:name w:val="footer"/>
    <w:basedOn w:val="a"/>
    <w:link w:val="a9"/>
    <w:uiPriority w:val="99"/>
    <w:unhideWhenUsed/>
    <w:rsid w:val="00EC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094"/>
    <w:rPr>
      <w:rFonts w:ascii="Calibri" w:eastAsia="Calibri" w:hAnsi="Calibri" w:cs="Times New Roman"/>
      <w14:ligatures w14:val="none"/>
    </w:rPr>
  </w:style>
  <w:style w:type="table" w:styleId="aa">
    <w:name w:val="Table Grid"/>
    <w:basedOn w:val="a1"/>
    <w:uiPriority w:val="39"/>
    <w:rsid w:val="0054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C494-FB76-46ED-B722-7BAF7C9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nurchikkkipchakbaev@gmail.com</dc:creator>
  <cp:keywords/>
  <dc:description/>
  <cp:lastModifiedBy>Baizakova Raida</cp:lastModifiedBy>
  <cp:revision>18</cp:revision>
  <cp:lastPrinted>2024-08-08T11:08:00Z</cp:lastPrinted>
  <dcterms:created xsi:type="dcterms:W3CDTF">2024-08-08T04:16:00Z</dcterms:created>
  <dcterms:modified xsi:type="dcterms:W3CDTF">2024-08-13T12:16:00Z</dcterms:modified>
</cp:coreProperties>
</file>